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627661D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0A696D">
        <w:rPr>
          <w:rFonts w:cs="Arial"/>
          <w:b/>
          <w:sz w:val="24"/>
          <w:szCs w:val="24"/>
        </w:rPr>
        <w:t>1</w:t>
      </w:r>
      <w:r w:rsidR="00CC7830">
        <w:rPr>
          <w:rFonts w:cs="Arial"/>
          <w:b/>
          <w:sz w:val="24"/>
          <w:szCs w:val="24"/>
        </w:rPr>
        <w:t>e</w:t>
      </w:r>
      <w:r w:rsidR="006358BA">
        <w:rPr>
          <w:b/>
          <w:i/>
          <w:noProof/>
          <w:sz w:val="28"/>
        </w:rPr>
        <w:tab/>
      </w:r>
      <w:r w:rsidR="00C54D06" w:rsidRPr="00C54D06">
        <w:rPr>
          <w:rFonts w:cs="Arial"/>
          <w:b/>
          <w:sz w:val="24"/>
          <w:szCs w:val="24"/>
        </w:rPr>
        <w:t>R4-211</w:t>
      </w:r>
      <w:r w:rsidR="004611A6">
        <w:rPr>
          <w:rFonts w:cs="Arial"/>
          <w:b/>
          <w:sz w:val="24"/>
          <w:szCs w:val="24"/>
        </w:rPr>
        <w:t>9487</w:t>
      </w:r>
      <w:bookmarkStart w:id="2" w:name="_GoBack"/>
      <w:bookmarkEnd w:id="2"/>
    </w:p>
    <w:p w14:paraId="31DCE6A5" w14:textId="506D5E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A696D">
        <w:rPr>
          <w:b/>
          <w:sz w:val="24"/>
          <w:szCs w:val="24"/>
          <w:lang w:eastAsia="zh-CN"/>
        </w:rPr>
        <w:t>Nov. 1</w:t>
      </w:r>
      <w:r w:rsidR="000A696D" w:rsidRPr="00BF1228">
        <w:rPr>
          <w:b/>
          <w:sz w:val="24"/>
          <w:szCs w:val="24"/>
          <w:lang w:eastAsia="zh-CN"/>
        </w:rPr>
        <w:t>-</w:t>
      </w:r>
      <w:r w:rsidR="000A696D">
        <w:rPr>
          <w:b/>
          <w:sz w:val="24"/>
          <w:szCs w:val="24"/>
          <w:lang w:eastAsia="zh-CN"/>
        </w:rPr>
        <w:t>12</w:t>
      </w:r>
      <w:r w:rsidR="000A696D" w:rsidRPr="00BF1228">
        <w:rPr>
          <w:b/>
          <w:sz w:val="24"/>
          <w:szCs w:val="24"/>
          <w:lang w:eastAsia="zh-CN"/>
        </w:rPr>
        <w:t>, 202</w:t>
      </w:r>
      <w:r w:rsidR="000A696D">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859642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12158">
        <w:rPr>
          <w:rFonts w:cs="Arial"/>
          <w:sz w:val="22"/>
        </w:rPr>
        <w:t>NR-U Contiguous UL-CA Back-Off Measurements</w:t>
      </w:r>
    </w:p>
    <w:p w14:paraId="62B5D7F8" w14:textId="1B3BD7F8"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12158" w:rsidRPr="00712158">
        <w:rPr>
          <w:rFonts w:ascii="Arial" w:hAnsi="Arial" w:cs="Arial"/>
          <w:sz w:val="22"/>
        </w:rPr>
        <w:t>7.5.2 NR-U intra-band contiguous UL CA [WI code]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1923A9D" w:rsidR="00577141" w:rsidRDefault="00712158" w:rsidP="00577141">
      <w:pPr>
        <w:overflowPunct/>
        <w:autoSpaceDE/>
        <w:autoSpaceDN/>
        <w:adjustRightInd/>
        <w:spacing w:after="0"/>
        <w:jc w:val="both"/>
        <w:textAlignment w:val="auto"/>
        <w:rPr>
          <w:rFonts w:eastAsia="SimSun"/>
          <w:lang w:eastAsia="zh-CN"/>
        </w:rPr>
      </w:pPr>
      <w:r w:rsidRPr="00712158">
        <w:rPr>
          <w:rFonts w:eastAsia="SimSun"/>
          <w:lang w:eastAsia="zh-CN"/>
        </w:rPr>
        <w:t>At RAN4 #</w:t>
      </w:r>
      <w:r>
        <w:rPr>
          <w:rFonts w:eastAsia="SimSun"/>
          <w:lang w:eastAsia="zh-CN"/>
        </w:rPr>
        <w:t>100</w:t>
      </w:r>
      <w:r w:rsidRPr="00712158">
        <w:rPr>
          <w:rFonts w:eastAsia="SimSun"/>
          <w:lang w:eastAsia="zh-CN"/>
        </w:rPr>
        <w:t xml:space="preserve">e, agreements were reached on UE transmitter (TX) </w:t>
      </w:r>
      <w:r>
        <w:rPr>
          <w:rFonts w:eastAsia="SimSun"/>
          <w:lang w:eastAsia="zh-CN"/>
        </w:rPr>
        <w:t xml:space="preserve">assumptions, </w:t>
      </w:r>
      <w:r w:rsidRPr="00712158">
        <w:rPr>
          <w:rFonts w:eastAsia="SimSun"/>
          <w:lang w:eastAsia="zh-CN"/>
        </w:rPr>
        <w:t>requirements</w:t>
      </w:r>
      <w:r>
        <w:rPr>
          <w:rFonts w:eastAsia="SimSun"/>
          <w:lang w:eastAsia="zh-CN"/>
        </w:rPr>
        <w:t xml:space="preserve"> and priorities</w:t>
      </w:r>
      <w:r w:rsidRPr="00712158">
        <w:rPr>
          <w:rFonts w:eastAsia="SimSun"/>
          <w:lang w:eastAsia="zh-CN"/>
        </w:rPr>
        <w:t xml:space="preserve"> to evaluate</w:t>
      </w:r>
      <w:r w:rsidR="007B6BE5">
        <w:rPr>
          <w:rFonts w:eastAsia="SimSun"/>
          <w:lang w:eastAsia="zh-CN"/>
        </w:rPr>
        <w:t xml:space="preserve"> MPR and A-MPR for</w:t>
      </w:r>
      <w:r>
        <w:rPr>
          <w:rFonts w:eastAsia="SimSun"/>
          <w:lang w:eastAsia="zh-CN"/>
        </w:rPr>
        <w:t xml:space="preserve"> NR-U intra-band contiguous uplink (UL) carrier aggregation</w:t>
      </w:r>
      <w:r w:rsidR="007B6BE5">
        <w:rPr>
          <w:rFonts w:eastAsia="SimSun"/>
          <w:lang w:eastAsia="zh-CN"/>
        </w:rPr>
        <w:t xml:space="preserve"> (CA) </w:t>
      </w:r>
      <w:r w:rsidRPr="00712158">
        <w:rPr>
          <w:rFonts w:eastAsia="SimSun"/>
          <w:lang w:eastAsia="zh-CN"/>
        </w:rPr>
        <w:t>[1]. Based on these agreements, this document presents back-off measurements</w:t>
      </w:r>
      <w:r w:rsidR="007B6BE5">
        <w:rPr>
          <w:rFonts w:eastAsia="SimSun"/>
          <w:lang w:eastAsia="zh-CN"/>
        </w:rPr>
        <w:t xml:space="preserve"> to evaluate MPR</w:t>
      </w:r>
      <w:r w:rsidRPr="00712158">
        <w:rPr>
          <w:rFonts w:eastAsia="SimSun"/>
          <w:lang w:eastAsia="zh-CN"/>
        </w:rPr>
        <w:t xml:space="preserve"> </w:t>
      </w:r>
      <w:r w:rsidR="007B6BE5">
        <w:rPr>
          <w:rFonts w:eastAsia="SimSun"/>
          <w:lang w:eastAsia="zh-CN"/>
        </w:rPr>
        <w:t xml:space="preserve">for </w:t>
      </w:r>
      <w:r w:rsidRPr="00712158">
        <w:rPr>
          <w:rFonts w:eastAsia="SimSun"/>
          <w:lang w:eastAsia="zh-CN"/>
        </w:rPr>
        <w:t>PC5 using a Wi-Fi 5GHz Power Amplifier (PA)</w:t>
      </w:r>
      <w:r w:rsidR="007B6BE5">
        <w:rPr>
          <w:rFonts w:eastAsia="SimSun"/>
          <w:lang w:eastAsia="zh-CN"/>
        </w:rPr>
        <w:t>. A-MPR has not been evaluated and is proposed for further study (FFS).</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390B1302" w14:textId="7B63FDF8" w:rsidR="007C6B9C" w:rsidRDefault="007C6B9C" w:rsidP="007C6B9C">
      <w:pPr>
        <w:pStyle w:val="Heading2"/>
        <w:tabs>
          <w:tab w:val="clear" w:pos="1427"/>
          <w:tab w:val="num" w:pos="1560"/>
        </w:tabs>
        <w:spacing w:after="240"/>
        <w:ind w:left="567"/>
        <w:rPr>
          <w:lang w:eastAsia="zh-CN"/>
        </w:rPr>
      </w:pPr>
      <w:r w:rsidRPr="007C6B9C">
        <w:rPr>
          <w:lang w:eastAsia="zh-CN"/>
        </w:rPr>
        <w:t>Power Amplifier Calibration and Test Waveforms</w:t>
      </w:r>
    </w:p>
    <w:p w14:paraId="492060A4" w14:textId="107B1377" w:rsidR="00BE113D" w:rsidRDefault="00536B5F" w:rsidP="00BE113D">
      <w:pPr>
        <w:jc w:val="both"/>
        <w:rPr>
          <w:rFonts w:cs="Arial"/>
          <w:lang w:eastAsia="ja-JP"/>
        </w:rPr>
      </w:pPr>
      <w:r>
        <w:rPr>
          <w:rFonts w:cs="Arial"/>
          <w:lang w:eastAsia="ja-JP"/>
        </w:rPr>
        <w:t>The test conditions are set as follows:</w:t>
      </w:r>
      <w:r w:rsidR="00BE113D" w:rsidRPr="0047368B">
        <w:rPr>
          <w:rFonts w:cs="Arial"/>
          <w:lang w:eastAsia="ja-JP"/>
        </w:rPr>
        <w:t xml:space="preserve"> </w:t>
      </w:r>
    </w:p>
    <w:p w14:paraId="115A76F5" w14:textId="2B71B31A" w:rsidR="00BE113D" w:rsidRPr="00BE113D" w:rsidRDefault="00536B5F" w:rsidP="00BE113D">
      <w:pPr>
        <w:pStyle w:val="ListParagraph"/>
        <w:numPr>
          <w:ilvl w:val="0"/>
          <w:numId w:val="46"/>
        </w:numPr>
        <w:jc w:val="both"/>
        <w:rPr>
          <w:rFonts w:cs="Arial"/>
          <w:lang w:eastAsia="ja-JP"/>
        </w:rPr>
      </w:pPr>
      <w:r>
        <w:rPr>
          <w:rFonts w:cs="Arial"/>
          <w:lang w:eastAsia="ja-JP"/>
        </w:rPr>
        <w:t xml:space="preserve">A 5GHz </w:t>
      </w:r>
      <w:proofErr w:type="spellStart"/>
      <w:r>
        <w:rPr>
          <w:rFonts w:cs="Arial"/>
          <w:lang w:eastAsia="ja-JP"/>
        </w:rPr>
        <w:t>WiFi</w:t>
      </w:r>
      <w:proofErr w:type="spellEnd"/>
      <w:r>
        <w:rPr>
          <w:rFonts w:cs="Arial"/>
          <w:lang w:eastAsia="ja-JP"/>
        </w:rPr>
        <w:t xml:space="preserve"> </w:t>
      </w:r>
      <w:r w:rsidR="001F07BE" w:rsidRPr="001F07BE">
        <w:rPr>
          <w:rFonts w:cs="Arial"/>
          <w:lang w:eastAsia="ja-JP"/>
        </w:rPr>
        <w:t>PA</w:t>
      </w:r>
      <w:r w:rsidR="001F07BE">
        <w:rPr>
          <w:rFonts w:cs="Arial"/>
          <w:lang w:eastAsia="ja-JP"/>
        </w:rPr>
        <w:t xml:space="preserve"> is</w:t>
      </w:r>
      <w:r w:rsidR="001F07BE" w:rsidRPr="001F07BE">
        <w:rPr>
          <w:rFonts w:cs="Arial"/>
          <w:lang w:eastAsia="ja-JP"/>
        </w:rPr>
        <w:t xml:space="preserve"> calibrated to meet </w:t>
      </w:r>
      <w:r>
        <w:rPr>
          <w:rFonts w:cs="Arial"/>
          <w:lang w:eastAsia="ja-JP"/>
        </w:rPr>
        <w:t>1dB MPR</w:t>
      </w:r>
      <w:r w:rsidR="001F07BE" w:rsidRPr="001F07BE">
        <w:rPr>
          <w:rFonts w:cs="Arial"/>
          <w:lang w:eastAsia="ja-JP"/>
        </w:rPr>
        <w:t xml:space="preserve"> </w:t>
      </w:r>
      <w:r>
        <w:rPr>
          <w:rFonts w:cs="Arial"/>
          <w:lang w:eastAsia="ja-JP"/>
        </w:rPr>
        <w:t>for</w:t>
      </w:r>
      <w:r w:rsidR="001F07BE" w:rsidRPr="001F07BE">
        <w:rPr>
          <w:rFonts w:cs="Arial"/>
          <w:lang w:eastAsia="ja-JP"/>
        </w:rPr>
        <w:t xml:space="preserve"> </w:t>
      </w:r>
      <w:r>
        <w:rPr>
          <w:rFonts w:cs="Arial"/>
          <w:lang w:eastAsia="ja-JP"/>
        </w:rPr>
        <w:t>power class (PC) 5</w:t>
      </w:r>
      <w:r w:rsidR="001F07BE" w:rsidRPr="001F07BE">
        <w:rPr>
          <w:rFonts w:cs="Arial"/>
          <w:lang w:eastAsia="ja-JP"/>
        </w:rPr>
        <w:t xml:space="preserve"> </w:t>
      </w:r>
      <w:r w:rsidRPr="00536B5F">
        <w:rPr>
          <w:rFonts w:cs="Arial"/>
          <w:lang w:eastAsia="ja-JP"/>
        </w:rPr>
        <w:t>using the agreed 20MHz 100RB3 QPSK DFT-s-OFDM SCS 15kHz reference waveform</w:t>
      </w:r>
      <w:r w:rsidR="00BE113D" w:rsidRPr="00BE113D">
        <w:rPr>
          <w:rFonts w:cs="Arial"/>
          <w:lang w:eastAsia="ja-JP"/>
        </w:rPr>
        <w:t>;</w:t>
      </w:r>
    </w:p>
    <w:p w14:paraId="6DD4E04D" w14:textId="72957DF4" w:rsidR="00BE113D" w:rsidRPr="0047368B" w:rsidRDefault="00BE113D" w:rsidP="00BE113D">
      <w:pPr>
        <w:pStyle w:val="ListParagraph"/>
        <w:numPr>
          <w:ilvl w:val="0"/>
          <w:numId w:val="44"/>
        </w:numPr>
        <w:spacing w:after="0"/>
        <w:jc w:val="both"/>
        <w:rPr>
          <w:rFonts w:cs="Arial"/>
          <w:lang w:eastAsia="ja-JP"/>
        </w:rPr>
      </w:pPr>
      <w:r w:rsidRPr="0047368B">
        <w:rPr>
          <w:rFonts w:cs="Arial"/>
          <w:lang w:eastAsia="ja-JP"/>
        </w:rPr>
        <w:t>Local Oscillator (LO) leakage</w:t>
      </w:r>
      <w:r w:rsidR="00536B5F">
        <w:rPr>
          <w:rFonts w:cs="Arial"/>
          <w:lang w:eastAsia="ja-JP"/>
        </w:rPr>
        <w:t xml:space="preserve"> has been disabled </w:t>
      </w:r>
      <w:r w:rsidR="00536B5F" w:rsidRPr="00536B5F">
        <w:rPr>
          <w:rFonts w:cs="Arial"/>
          <w:lang w:eastAsia="ja-JP"/>
        </w:rPr>
        <w:t>to avoid erroneous NR-U SEM scaling and therefore erroneous back-off gating levels</w:t>
      </w:r>
      <w:r w:rsidR="00FC16BE">
        <w:rPr>
          <w:rFonts w:cs="Arial"/>
          <w:lang w:eastAsia="ja-JP"/>
        </w:rPr>
        <w:t>;</w:t>
      </w:r>
    </w:p>
    <w:p w14:paraId="1AADD99E" w14:textId="03B7762F" w:rsidR="00BE113D" w:rsidRDefault="00BE113D" w:rsidP="00BE113D">
      <w:pPr>
        <w:pStyle w:val="ListParagraph"/>
        <w:numPr>
          <w:ilvl w:val="0"/>
          <w:numId w:val="44"/>
        </w:numPr>
        <w:spacing w:after="0"/>
        <w:jc w:val="both"/>
        <w:rPr>
          <w:rFonts w:cs="Arial"/>
          <w:lang w:eastAsia="ja-JP"/>
        </w:rPr>
      </w:pPr>
      <w:r w:rsidRPr="0047368B">
        <w:rPr>
          <w:rFonts w:cs="Arial"/>
          <w:lang w:eastAsia="ja-JP"/>
        </w:rPr>
        <w:t>IQ Image rejection: -28dB;</w:t>
      </w:r>
    </w:p>
    <w:p w14:paraId="303D94C2" w14:textId="364DF4AD" w:rsidR="00536B5F" w:rsidRDefault="00536B5F" w:rsidP="00BE113D">
      <w:pPr>
        <w:pStyle w:val="ListParagraph"/>
        <w:numPr>
          <w:ilvl w:val="0"/>
          <w:numId w:val="44"/>
        </w:numPr>
        <w:spacing w:after="0"/>
        <w:jc w:val="both"/>
        <w:rPr>
          <w:rFonts w:cs="Arial"/>
          <w:lang w:eastAsia="ja-JP"/>
        </w:rPr>
      </w:pPr>
      <w:r>
        <w:rPr>
          <w:rFonts w:cs="Arial"/>
          <w:lang w:eastAsia="ja-JP"/>
        </w:rPr>
        <w:t>Gating measurements:</w:t>
      </w:r>
      <w:r w:rsidR="00417099">
        <w:rPr>
          <w:rFonts w:cs="Arial"/>
          <w:lang w:eastAsia="ja-JP"/>
        </w:rPr>
        <w:t xml:space="preserve"> only MPR gating is evaluated using:</w:t>
      </w:r>
    </w:p>
    <w:p w14:paraId="732AF1F5" w14:textId="1B253DA3" w:rsidR="00536B5F" w:rsidRPr="0047368B" w:rsidRDefault="00536B5F" w:rsidP="00536B5F">
      <w:pPr>
        <w:pStyle w:val="ListParagraph"/>
        <w:numPr>
          <w:ilvl w:val="1"/>
          <w:numId w:val="44"/>
        </w:numPr>
        <w:spacing w:after="0"/>
        <w:jc w:val="both"/>
        <w:rPr>
          <w:rFonts w:cs="Arial"/>
          <w:lang w:eastAsia="ja-JP"/>
        </w:rPr>
      </w:pPr>
      <w:r>
        <w:rPr>
          <w:rFonts w:cs="Arial"/>
          <w:lang w:eastAsia="ja-JP"/>
        </w:rPr>
        <w:t>PC</w:t>
      </w:r>
      <w:r w:rsidRPr="0047368B">
        <w:rPr>
          <w:rFonts w:cs="Arial"/>
          <w:lang w:eastAsia="ja-JP"/>
        </w:rPr>
        <w:t xml:space="preserve"> </w:t>
      </w:r>
      <w:r>
        <w:rPr>
          <w:rFonts w:cs="Arial"/>
          <w:lang w:eastAsia="ja-JP"/>
        </w:rPr>
        <w:t>5</w:t>
      </w:r>
      <w:r w:rsidRPr="0047368B">
        <w:rPr>
          <w:rFonts w:cs="Arial"/>
          <w:lang w:eastAsia="ja-JP"/>
        </w:rPr>
        <w:t xml:space="preserve"> </w:t>
      </w:r>
      <w:r>
        <w:rPr>
          <w:rFonts w:cs="Arial"/>
          <w:lang w:eastAsia="ja-JP"/>
        </w:rPr>
        <w:t>ACLR: -27dBc;</w:t>
      </w:r>
      <w:r w:rsidR="00FC16BE">
        <w:rPr>
          <w:rFonts w:cs="Arial"/>
          <w:lang w:eastAsia="ja-JP"/>
        </w:rPr>
        <w:t xml:space="preserve"> and</w:t>
      </w:r>
    </w:p>
    <w:p w14:paraId="0ED99DFD" w14:textId="2501979C" w:rsidR="00BE113D" w:rsidRDefault="00536B5F" w:rsidP="002126AA">
      <w:pPr>
        <w:pStyle w:val="ListParagraph"/>
        <w:numPr>
          <w:ilvl w:val="1"/>
          <w:numId w:val="44"/>
        </w:numPr>
        <w:spacing w:after="0"/>
        <w:jc w:val="both"/>
        <w:rPr>
          <w:rFonts w:cs="Arial"/>
          <w:lang w:eastAsia="ja-JP"/>
        </w:rPr>
      </w:pPr>
      <w:r w:rsidRPr="00417099">
        <w:rPr>
          <w:rFonts w:cs="Arial"/>
          <w:lang w:eastAsia="ja-JP"/>
        </w:rPr>
        <w:t>Agreed Spectrum Emission Mask (SEM) in WF [1]</w:t>
      </w:r>
      <w:r w:rsidR="00417099" w:rsidRPr="00417099">
        <w:rPr>
          <w:rFonts w:cs="Arial"/>
          <w:lang w:eastAsia="ja-JP"/>
        </w:rPr>
        <w:t>. The spectrum emission mask for non-transmitted channels is floored at -28dBr</w:t>
      </w:r>
      <w:r w:rsidR="00417099">
        <w:rPr>
          <w:rFonts w:cs="Arial"/>
          <w:lang w:eastAsia="ja-JP"/>
        </w:rPr>
        <w:t>.</w:t>
      </w:r>
    </w:p>
    <w:p w14:paraId="4921F5BE" w14:textId="77777777" w:rsidR="00417099" w:rsidRPr="00417099" w:rsidRDefault="00417099" w:rsidP="00417099">
      <w:pPr>
        <w:pStyle w:val="ListParagraph"/>
        <w:spacing w:after="0"/>
        <w:ind w:left="1440"/>
        <w:jc w:val="both"/>
        <w:rPr>
          <w:rFonts w:cs="Arial"/>
          <w:lang w:eastAsia="ja-JP"/>
        </w:rPr>
      </w:pPr>
    </w:p>
    <w:p w14:paraId="5D488D73" w14:textId="48EE4E2D" w:rsidR="00BE113D" w:rsidRDefault="00D603D8" w:rsidP="00BE113D">
      <w:pPr>
        <w:jc w:val="both"/>
        <w:rPr>
          <w:rFonts w:cs="Arial"/>
          <w:lang w:eastAsia="ja-JP"/>
        </w:rPr>
      </w:pPr>
      <w:r>
        <w:rPr>
          <w:rFonts w:cs="Arial"/>
          <w:lang w:eastAsia="ja-JP"/>
        </w:rPr>
        <w:t xml:space="preserve">The list of tested waveforms is captured in </w:t>
      </w:r>
      <w:r>
        <w:rPr>
          <w:rFonts w:cs="Arial"/>
          <w:lang w:eastAsia="ja-JP"/>
        </w:rPr>
        <w:fldChar w:fldCharType="begin"/>
      </w:r>
      <w:r>
        <w:rPr>
          <w:rFonts w:cs="Arial"/>
          <w:lang w:eastAsia="ja-JP"/>
        </w:rPr>
        <w:instrText xml:space="preserve"> REF _Ref85748044 \h </w:instrText>
      </w:r>
      <w:r>
        <w:rPr>
          <w:rFonts w:cs="Arial"/>
          <w:lang w:eastAsia="ja-JP"/>
        </w:rPr>
      </w:r>
      <w:r>
        <w:rPr>
          <w:rFonts w:cs="Arial"/>
          <w:lang w:eastAsia="ja-JP"/>
        </w:rPr>
        <w:fldChar w:fldCharType="separate"/>
      </w:r>
      <w:r w:rsidRPr="006B0CFE">
        <w:t xml:space="preserve">Table </w:t>
      </w:r>
      <w:r w:rsidRPr="006B0CFE">
        <w:rPr>
          <w:noProof/>
        </w:rPr>
        <w:t>1</w:t>
      </w:r>
      <w:r>
        <w:rPr>
          <w:rFonts w:cs="Arial"/>
          <w:lang w:eastAsia="ja-JP"/>
        </w:rPr>
        <w:fldChar w:fldCharType="end"/>
      </w:r>
      <w:r>
        <w:rPr>
          <w:rFonts w:cs="Arial"/>
          <w:lang w:eastAsia="ja-JP"/>
        </w:rPr>
        <w:t xml:space="preserve"> with the following naming convention:</w:t>
      </w:r>
    </w:p>
    <w:p w14:paraId="65C4DD0F" w14:textId="6C0DE097" w:rsidR="0056485F" w:rsidRDefault="0056485F" w:rsidP="00D727DA">
      <w:pPr>
        <w:pStyle w:val="ListParagraph"/>
        <w:numPr>
          <w:ilvl w:val="0"/>
          <w:numId w:val="46"/>
        </w:numPr>
        <w:jc w:val="both"/>
        <w:rPr>
          <w:rFonts w:cs="Arial"/>
          <w:lang w:eastAsia="ja-JP"/>
        </w:rPr>
      </w:pPr>
      <w:r>
        <w:rPr>
          <w:rFonts w:cs="Arial"/>
          <w:lang w:eastAsia="ja-JP"/>
        </w:rPr>
        <w:t>All tested waveforms are QPSK modulated</w:t>
      </w:r>
      <w:r w:rsidR="00FC16BE">
        <w:rPr>
          <w:rFonts w:cs="Arial"/>
          <w:lang w:eastAsia="ja-JP"/>
        </w:rPr>
        <w:t>.</w:t>
      </w:r>
    </w:p>
    <w:p w14:paraId="357D40A4" w14:textId="2E6EA536" w:rsidR="00417099" w:rsidRDefault="00D727DA" w:rsidP="00D727DA">
      <w:pPr>
        <w:pStyle w:val="ListParagraph"/>
        <w:numPr>
          <w:ilvl w:val="0"/>
          <w:numId w:val="46"/>
        </w:numPr>
        <w:jc w:val="both"/>
        <w:rPr>
          <w:rFonts w:cs="Arial"/>
          <w:lang w:eastAsia="ja-JP"/>
        </w:rPr>
      </w:pPr>
      <w:r>
        <w:rPr>
          <w:rFonts w:cs="Arial"/>
          <w:lang w:eastAsia="ja-JP"/>
        </w:rPr>
        <w:t xml:space="preserve">UL-CA component carrier (CC) configurations: </w:t>
      </w:r>
    </w:p>
    <w:p w14:paraId="6AE0094B" w14:textId="24E7434B" w:rsidR="00D727DA" w:rsidRDefault="00417099" w:rsidP="00417099">
      <w:pPr>
        <w:pStyle w:val="ListParagraph"/>
        <w:numPr>
          <w:ilvl w:val="1"/>
          <w:numId w:val="46"/>
        </w:numPr>
        <w:jc w:val="both"/>
        <w:rPr>
          <w:rFonts w:cs="Arial"/>
          <w:lang w:eastAsia="ja-JP"/>
        </w:rPr>
      </w:pPr>
      <w:r>
        <w:rPr>
          <w:rFonts w:cs="Arial"/>
          <w:lang w:eastAsia="ja-JP"/>
        </w:rPr>
        <w:t>20MHz+20MHz and 80MHz+80MHz are evaluated with lowest valid SCS</w:t>
      </w:r>
      <w:r w:rsidR="00EF648E">
        <w:rPr>
          <w:rFonts w:cs="Arial"/>
          <w:lang w:eastAsia="ja-JP"/>
        </w:rPr>
        <w:t>;</w:t>
      </w:r>
    </w:p>
    <w:p w14:paraId="4014F8F3" w14:textId="6B6DF0DF" w:rsidR="00EF648E" w:rsidRPr="00EF648E" w:rsidRDefault="002B6ECB" w:rsidP="00EF648E">
      <w:pPr>
        <w:pStyle w:val="ListParagraph"/>
        <w:numPr>
          <w:ilvl w:val="1"/>
          <w:numId w:val="46"/>
        </w:numPr>
        <w:rPr>
          <w:rFonts w:cs="Arial"/>
          <w:lang w:eastAsia="ja-JP"/>
        </w:rPr>
      </w:pPr>
      <w:r w:rsidRPr="00EF648E">
        <w:rPr>
          <w:rFonts w:cs="Arial"/>
          <w:lang w:eastAsia="ja-JP"/>
        </w:rPr>
        <w:t xml:space="preserve">For 80+80MHz, </w:t>
      </w:r>
      <w:r w:rsidR="00EF648E">
        <w:rPr>
          <w:rFonts w:cs="Arial"/>
          <w:lang w:eastAsia="ja-JP"/>
        </w:rPr>
        <w:t>o</w:t>
      </w:r>
      <w:r w:rsidR="00EF648E" w:rsidRPr="00EF648E">
        <w:rPr>
          <w:rFonts w:cs="Arial"/>
          <w:lang w:eastAsia="ja-JP"/>
        </w:rPr>
        <w:t xml:space="preserve">nly contiguous sub-bands across the two CCs </w:t>
      </w:r>
      <w:r w:rsidR="00EF648E">
        <w:rPr>
          <w:rFonts w:cs="Arial"/>
          <w:lang w:eastAsia="ja-JP"/>
        </w:rPr>
        <w:t>are configured. In the waveform naming example of [00011000], the “1” indicate the fourth sub-band of CC1 and the first sub-band of CC2 are transmitted, the “0” indicate that the 1</w:t>
      </w:r>
      <w:r w:rsidR="00EF648E" w:rsidRPr="00EF648E">
        <w:rPr>
          <w:rFonts w:cs="Arial"/>
          <w:vertAlign w:val="superscript"/>
          <w:lang w:eastAsia="ja-JP"/>
        </w:rPr>
        <w:t>st</w:t>
      </w:r>
      <w:r w:rsidR="00EF648E">
        <w:rPr>
          <w:rFonts w:cs="Arial"/>
          <w:lang w:eastAsia="ja-JP"/>
        </w:rPr>
        <w:t>,2</w:t>
      </w:r>
      <w:r w:rsidR="00EF648E" w:rsidRPr="00EF648E">
        <w:rPr>
          <w:rFonts w:cs="Arial"/>
          <w:vertAlign w:val="superscript"/>
          <w:lang w:eastAsia="ja-JP"/>
        </w:rPr>
        <w:t>nd</w:t>
      </w:r>
      <w:r w:rsidR="00EF648E">
        <w:rPr>
          <w:rFonts w:cs="Arial"/>
          <w:lang w:eastAsia="ja-JP"/>
        </w:rPr>
        <w:t>,3</w:t>
      </w:r>
      <w:r w:rsidR="00EF648E" w:rsidRPr="00EF648E">
        <w:rPr>
          <w:rFonts w:cs="Arial"/>
          <w:vertAlign w:val="superscript"/>
          <w:lang w:eastAsia="ja-JP"/>
        </w:rPr>
        <w:t>rd</w:t>
      </w:r>
      <w:r w:rsidR="00EF648E">
        <w:rPr>
          <w:rFonts w:cs="Arial"/>
          <w:lang w:eastAsia="ja-JP"/>
        </w:rPr>
        <w:t xml:space="preserve"> sub-band of CC1 and 2</w:t>
      </w:r>
      <w:r w:rsidR="00EF648E" w:rsidRPr="00EF648E">
        <w:rPr>
          <w:rFonts w:cs="Arial"/>
          <w:vertAlign w:val="superscript"/>
          <w:lang w:eastAsia="ja-JP"/>
        </w:rPr>
        <w:t>nd</w:t>
      </w:r>
      <w:r w:rsidR="00EF648E">
        <w:rPr>
          <w:rFonts w:cs="Arial"/>
          <w:lang w:eastAsia="ja-JP"/>
        </w:rPr>
        <w:t>,3</w:t>
      </w:r>
      <w:r w:rsidR="00EF648E" w:rsidRPr="00EF648E">
        <w:rPr>
          <w:rFonts w:cs="Arial"/>
          <w:vertAlign w:val="superscript"/>
          <w:lang w:eastAsia="ja-JP"/>
        </w:rPr>
        <w:t>rd</w:t>
      </w:r>
      <w:r w:rsidR="00EF648E">
        <w:rPr>
          <w:rFonts w:cs="Arial"/>
          <w:lang w:eastAsia="ja-JP"/>
        </w:rPr>
        <w:t>,4</w:t>
      </w:r>
      <w:r w:rsidR="00EF648E" w:rsidRPr="00EF648E">
        <w:rPr>
          <w:rFonts w:cs="Arial"/>
          <w:vertAlign w:val="superscript"/>
          <w:lang w:eastAsia="ja-JP"/>
        </w:rPr>
        <w:t>th</w:t>
      </w:r>
      <w:r w:rsidR="00EF648E">
        <w:rPr>
          <w:rFonts w:cs="Arial"/>
          <w:lang w:eastAsia="ja-JP"/>
        </w:rPr>
        <w:t xml:space="preserve"> sub-band of CC2 are not transmitted</w:t>
      </w:r>
      <w:r w:rsidR="00FC16BE">
        <w:rPr>
          <w:rFonts w:cs="Arial"/>
          <w:lang w:eastAsia="ja-JP"/>
        </w:rPr>
        <w:t>.</w:t>
      </w:r>
    </w:p>
    <w:p w14:paraId="3A7E15F2" w14:textId="73BE8A21" w:rsidR="00417099" w:rsidRDefault="00417099" w:rsidP="00417099">
      <w:pPr>
        <w:pStyle w:val="ListParagraph"/>
        <w:numPr>
          <w:ilvl w:val="1"/>
          <w:numId w:val="46"/>
        </w:numPr>
        <w:jc w:val="both"/>
        <w:rPr>
          <w:rFonts w:cs="Arial"/>
          <w:lang w:eastAsia="ja-JP"/>
        </w:rPr>
      </w:pPr>
      <w:r>
        <w:rPr>
          <w:rFonts w:cs="Arial"/>
          <w:lang w:eastAsia="ja-JP"/>
        </w:rPr>
        <w:t>Full</w:t>
      </w:r>
      <w:r w:rsidR="00EF648E">
        <w:rPr>
          <w:rFonts w:cs="Arial"/>
          <w:lang w:eastAsia="ja-JP"/>
        </w:rPr>
        <w:t xml:space="preserve"> and RB interlaced allocations</w:t>
      </w:r>
      <w:r>
        <w:rPr>
          <w:rFonts w:cs="Arial"/>
          <w:lang w:eastAsia="ja-JP"/>
        </w:rPr>
        <w:t xml:space="preserve"> in </w:t>
      </w:r>
      <w:r w:rsidR="00EF648E">
        <w:rPr>
          <w:rFonts w:cs="Arial"/>
          <w:lang w:eastAsia="ja-JP"/>
        </w:rPr>
        <w:t xml:space="preserve">the transmitted sub-bands of </w:t>
      </w:r>
      <w:r>
        <w:rPr>
          <w:rFonts w:cs="Arial"/>
          <w:lang w:eastAsia="ja-JP"/>
        </w:rPr>
        <w:t>CC1</w:t>
      </w:r>
      <w:r w:rsidR="00EF648E">
        <w:rPr>
          <w:rFonts w:cs="Arial"/>
          <w:lang w:eastAsia="ja-JP"/>
        </w:rPr>
        <w:t xml:space="preserve"> and transmitted sub-bands of </w:t>
      </w:r>
      <w:r>
        <w:rPr>
          <w:rFonts w:cs="Arial"/>
          <w:lang w:eastAsia="ja-JP"/>
        </w:rPr>
        <w:t>CC2</w:t>
      </w:r>
      <w:r w:rsidR="00FC16BE">
        <w:rPr>
          <w:rFonts w:cs="Arial"/>
          <w:lang w:eastAsia="ja-JP"/>
        </w:rPr>
        <w:t>.</w:t>
      </w:r>
    </w:p>
    <w:p w14:paraId="50F8A075" w14:textId="156A3DF7" w:rsidR="00417099" w:rsidRDefault="00417099" w:rsidP="00417099">
      <w:pPr>
        <w:pStyle w:val="ListParagraph"/>
        <w:numPr>
          <w:ilvl w:val="1"/>
          <w:numId w:val="46"/>
        </w:numPr>
        <w:jc w:val="both"/>
        <w:rPr>
          <w:rFonts w:cs="Arial"/>
          <w:lang w:eastAsia="ja-JP"/>
        </w:rPr>
      </w:pPr>
      <w:r>
        <w:rPr>
          <w:rFonts w:cs="Arial"/>
          <w:lang w:eastAsia="ja-JP"/>
        </w:rPr>
        <w:t xml:space="preserve">Hybrid configurations of </w:t>
      </w:r>
      <w:r w:rsidR="00EF648E">
        <w:rPr>
          <w:rFonts w:cs="Arial"/>
          <w:lang w:eastAsia="ja-JP"/>
        </w:rPr>
        <w:t>f</w:t>
      </w:r>
      <w:r>
        <w:rPr>
          <w:rFonts w:cs="Arial"/>
          <w:lang w:eastAsia="ja-JP"/>
        </w:rPr>
        <w:t xml:space="preserve">ull allocations in </w:t>
      </w:r>
      <w:r w:rsidR="00EF648E">
        <w:rPr>
          <w:rFonts w:cs="Arial"/>
          <w:lang w:eastAsia="ja-JP"/>
        </w:rPr>
        <w:t xml:space="preserve">the transmitted sub-bands of </w:t>
      </w:r>
      <w:r>
        <w:rPr>
          <w:rFonts w:cs="Arial"/>
          <w:lang w:eastAsia="ja-JP"/>
        </w:rPr>
        <w:t xml:space="preserve">CC1 and </w:t>
      </w:r>
      <w:r w:rsidR="00EF648E">
        <w:rPr>
          <w:rFonts w:cs="Arial"/>
          <w:lang w:eastAsia="ja-JP"/>
        </w:rPr>
        <w:t>i</w:t>
      </w:r>
      <w:r>
        <w:rPr>
          <w:rFonts w:cs="Arial"/>
          <w:lang w:eastAsia="ja-JP"/>
        </w:rPr>
        <w:t>nterlaced allocations in</w:t>
      </w:r>
      <w:r w:rsidR="00EF648E">
        <w:rPr>
          <w:rFonts w:cs="Arial"/>
          <w:lang w:eastAsia="ja-JP"/>
        </w:rPr>
        <w:t xml:space="preserve"> the transmitted sub-bands of</w:t>
      </w:r>
      <w:r>
        <w:rPr>
          <w:rFonts w:cs="Arial"/>
          <w:lang w:eastAsia="ja-JP"/>
        </w:rPr>
        <w:t xml:space="preserve"> CC2</w:t>
      </w:r>
      <w:r w:rsidR="00EF648E">
        <w:rPr>
          <w:rFonts w:cs="Arial"/>
          <w:lang w:eastAsia="ja-JP"/>
        </w:rPr>
        <w:t>.</w:t>
      </w:r>
    </w:p>
    <w:p w14:paraId="5A211006" w14:textId="7192AB0C" w:rsidR="00D727DA" w:rsidRDefault="00D727DA" w:rsidP="00D727DA">
      <w:pPr>
        <w:pStyle w:val="ListParagraph"/>
        <w:numPr>
          <w:ilvl w:val="0"/>
          <w:numId w:val="46"/>
        </w:numPr>
        <w:jc w:val="both"/>
        <w:rPr>
          <w:rFonts w:cs="Arial"/>
          <w:lang w:eastAsia="ja-JP"/>
        </w:rPr>
      </w:pPr>
      <w:r>
        <w:rPr>
          <w:rFonts w:cs="Arial"/>
          <w:lang w:eastAsia="ja-JP"/>
        </w:rPr>
        <w:t>Resource Block (RB) allocations:</w:t>
      </w:r>
    </w:p>
    <w:p w14:paraId="7291CB40" w14:textId="6FC5FC36" w:rsidR="00D727DA" w:rsidRDefault="00D727DA" w:rsidP="00D727DA">
      <w:pPr>
        <w:pStyle w:val="ListParagraph"/>
        <w:numPr>
          <w:ilvl w:val="1"/>
          <w:numId w:val="46"/>
        </w:numPr>
        <w:jc w:val="both"/>
        <w:rPr>
          <w:rFonts w:cs="Arial"/>
          <w:lang w:eastAsia="ja-JP"/>
        </w:rPr>
      </w:pPr>
      <w:r>
        <w:rPr>
          <w:rFonts w:cs="Arial"/>
          <w:lang w:eastAsia="ja-JP"/>
        </w:rPr>
        <w:t>“Full” refers to fully allocated waveforms for a given channel bandwidth or given sub-band</w:t>
      </w:r>
      <w:r w:rsidR="00FC16BE">
        <w:rPr>
          <w:rFonts w:cs="Arial"/>
          <w:lang w:eastAsia="ja-JP"/>
        </w:rPr>
        <w:t>.</w:t>
      </w:r>
    </w:p>
    <w:p w14:paraId="7FD3162A" w14:textId="4FBC63F9" w:rsidR="00D727DA" w:rsidRDefault="00D727DA" w:rsidP="00D727DA">
      <w:pPr>
        <w:pStyle w:val="ListParagraph"/>
        <w:numPr>
          <w:ilvl w:val="1"/>
          <w:numId w:val="46"/>
        </w:numPr>
        <w:jc w:val="both"/>
        <w:rPr>
          <w:rFonts w:cs="Arial"/>
          <w:lang w:eastAsia="ja-JP"/>
        </w:rPr>
      </w:pPr>
      <w:r>
        <w:rPr>
          <w:rFonts w:cs="Arial"/>
          <w:lang w:eastAsia="ja-JP"/>
        </w:rPr>
        <w:t>“</w:t>
      </w:r>
      <w:r w:rsidR="00417099">
        <w:rPr>
          <w:rFonts w:cs="Arial"/>
          <w:lang w:eastAsia="ja-JP"/>
        </w:rPr>
        <w:t>CP_1RBI_0”: refers to a</w:t>
      </w:r>
      <w:r w:rsidR="00EF648E">
        <w:rPr>
          <w:rFonts w:cs="Arial"/>
          <w:lang w:eastAsia="ja-JP"/>
        </w:rPr>
        <w:t xml:space="preserve"> C</w:t>
      </w:r>
      <w:r w:rsidR="00417099">
        <w:rPr>
          <w:rFonts w:cs="Arial"/>
          <w:lang w:eastAsia="ja-JP"/>
        </w:rPr>
        <w:t xml:space="preserve">P-OFDM </w:t>
      </w:r>
      <w:r w:rsidR="00EF648E">
        <w:rPr>
          <w:rFonts w:cs="Arial"/>
          <w:lang w:eastAsia="ja-JP"/>
        </w:rPr>
        <w:t xml:space="preserve">interlaced </w:t>
      </w:r>
      <w:r w:rsidR="00417099">
        <w:rPr>
          <w:rFonts w:cs="Arial"/>
          <w:lang w:eastAsia="ja-JP"/>
        </w:rPr>
        <w:t>waveform with 1RB_0 repeated according to the configured SCS</w:t>
      </w:r>
      <w:r w:rsidR="00A0725F">
        <w:rPr>
          <w:rFonts w:cs="Arial"/>
          <w:lang w:eastAsia="ja-JP"/>
        </w:rPr>
        <w:t xml:space="preserve"> </w:t>
      </w:r>
      <w:r w:rsidR="00EF648E">
        <w:rPr>
          <w:rFonts w:cs="Arial"/>
          <w:lang w:eastAsia="ja-JP"/>
        </w:rPr>
        <w:t>wideband configuration and associated nominal intra-cell guard band</w:t>
      </w:r>
      <w:r w:rsidR="00A0725F">
        <w:rPr>
          <w:rFonts w:cs="Arial"/>
          <w:lang w:eastAsia="ja-JP"/>
        </w:rPr>
        <w:t xml:space="preserve">. The example of waveform “[CP 1RBI_0] + [CP_1RBI_0] [00011000] is </w:t>
      </w:r>
      <w:r w:rsidR="00003E22">
        <w:rPr>
          <w:rFonts w:cs="Arial"/>
          <w:lang w:eastAsia="ja-JP"/>
        </w:rPr>
        <w:t>shown</w:t>
      </w:r>
      <w:r w:rsidR="00A0725F">
        <w:rPr>
          <w:rFonts w:cs="Arial"/>
          <w:lang w:eastAsia="ja-JP"/>
        </w:rPr>
        <w:t xml:space="preserve"> in </w:t>
      </w:r>
      <w:r w:rsidR="00003E22">
        <w:rPr>
          <w:rFonts w:cs="Arial"/>
          <w:lang w:eastAsia="ja-JP"/>
        </w:rPr>
        <w:fldChar w:fldCharType="begin"/>
      </w:r>
      <w:r w:rsidR="00003E22">
        <w:rPr>
          <w:rFonts w:cs="Arial"/>
          <w:lang w:eastAsia="ja-JP"/>
        </w:rPr>
        <w:instrText xml:space="preserve"> REF _Ref85751213 \h </w:instrText>
      </w:r>
      <w:r w:rsidR="00003E22">
        <w:rPr>
          <w:rFonts w:cs="Arial"/>
          <w:lang w:eastAsia="ja-JP"/>
        </w:rPr>
      </w:r>
      <w:r w:rsidR="00003E22">
        <w:rPr>
          <w:rFonts w:cs="Arial"/>
          <w:lang w:eastAsia="ja-JP"/>
        </w:rPr>
        <w:fldChar w:fldCharType="separate"/>
      </w:r>
      <w:r w:rsidR="00003E22">
        <w:t xml:space="preserve">Figure </w:t>
      </w:r>
      <w:r w:rsidR="00003E22">
        <w:rPr>
          <w:noProof/>
        </w:rPr>
        <w:t>1</w:t>
      </w:r>
      <w:r w:rsidR="00003E22">
        <w:rPr>
          <w:rFonts w:cs="Arial"/>
          <w:lang w:eastAsia="ja-JP"/>
        </w:rPr>
        <w:fldChar w:fldCharType="end"/>
      </w:r>
      <w:r w:rsidR="00003E22">
        <w:rPr>
          <w:rFonts w:cs="Arial"/>
          <w:lang w:eastAsia="ja-JP"/>
        </w:rPr>
        <w:t>.</w:t>
      </w:r>
    </w:p>
    <w:p w14:paraId="059A9CF3" w14:textId="3A6A9337" w:rsidR="00D727DA" w:rsidRDefault="00D727DA" w:rsidP="00D727DA">
      <w:pPr>
        <w:pStyle w:val="ListParagraph"/>
        <w:numPr>
          <w:ilvl w:val="0"/>
          <w:numId w:val="46"/>
        </w:numPr>
        <w:jc w:val="both"/>
        <w:rPr>
          <w:rFonts w:cs="Arial"/>
          <w:lang w:eastAsia="ja-JP"/>
        </w:rPr>
      </w:pPr>
      <w:r>
        <w:rPr>
          <w:rFonts w:cs="Arial"/>
          <w:lang w:eastAsia="ja-JP"/>
        </w:rPr>
        <w:t>Single carrier waveform nam</w:t>
      </w:r>
      <w:r w:rsidR="00417099">
        <w:rPr>
          <w:rFonts w:cs="Arial"/>
          <w:lang w:eastAsia="ja-JP"/>
        </w:rPr>
        <w:t>ing</w:t>
      </w:r>
      <w:r>
        <w:rPr>
          <w:rFonts w:cs="Arial"/>
          <w:lang w:eastAsia="ja-JP"/>
        </w:rPr>
        <w:t xml:space="preserve"> “DFT_</w:t>
      </w:r>
      <w:r w:rsidRPr="00D727DA">
        <w:rPr>
          <w:rFonts w:cs="Arial"/>
          <w:lang w:eastAsia="ja-JP"/>
        </w:rPr>
        <w:t>20M0_100RB3</w:t>
      </w:r>
      <w:r>
        <w:rPr>
          <w:rFonts w:cs="Arial"/>
          <w:lang w:eastAsia="ja-JP"/>
        </w:rPr>
        <w:t>”:</w:t>
      </w:r>
    </w:p>
    <w:p w14:paraId="539F1927" w14:textId="0C2431B8" w:rsidR="00D727DA" w:rsidRPr="00D727DA" w:rsidRDefault="00D727DA" w:rsidP="00D727DA">
      <w:pPr>
        <w:pStyle w:val="ListParagraph"/>
        <w:numPr>
          <w:ilvl w:val="1"/>
          <w:numId w:val="46"/>
        </w:numPr>
        <w:jc w:val="both"/>
        <w:rPr>
          <w:rFonts w:cs="Arial"/>
          <w:lang w:eastAsia="ja-JP"/>
        </w:rPr>
      </w:pPr>
      <w:r>
        <w:rPr>
          <w:rFonts w:cs="Arial"/>
          <w:lang w:eastAsia="ja-JP"/>
        </w:rPr>
        <w:t>“</w:t>
      </w:r>
      <w:r w:rsidRPr="00D727DA">
        <w:rPr>
          <w:rFonts w:cs="Arial"/>
          <w:lang w:eastAsia="ja-JP"/>
        </w:rPr>
        <w:t>DFT/CP</w:t>
      </w:r>
      <w:r>
        <w:rPr>
          <w:rFonts w:cs="Arial"/>
          <w:lang w:eastAsia="ja-JP"/>
        </w:rPr>
        <w:t>”:</w:t>
      </w:r>
      <w:r w:rsidRPr="00D727DA">
        <w:rPr>
          <w:rFonts w:cs="Arial"/>
          <w:lang w:eastAsia="ja-JP"/>
        </w:rPr>
        <w:t xml:space="preserve"> refers to either DFT-s-OFDM / CP-OFDM </w:t>
      </w:r>
      <w:r>
        <w:rPr>
          <w:rFonts w:cs="Arial"/>
          <w:lang w:eastAsia="ja-JP"/>
        </w:rPr>
        <w:t xml:space="preserve">waveform type </w:t>
      </w:r>
      <w:r w:rsidRPr="00D727DA">
        <w:rPr>
          <w:rFonts w:cs="Arial"/>
          <w:lang w:eastAsia="ja-JP"/>
        </w:rPr>
        <w:t>respectively</w:t>
      </w:r>
      <w:r>
        <w:rPr>
          <w:rFonts w:cs="Arial"/>
          <w:lang w:eastAsia="ja-JP"/>
        </w:rPr>
        <w:t>;</w:t>
      </w:r>
    </w:p>
    <w:p w14:paraId="0DB83C6E" w14:textId="63942753" w:rsidR="00D727DA" w:rsidRDefault="00D727DA" w:rsidP="00D727DA">
      <w:pPr>
        <w:pStyle w:val="ListParagraph"/>
        <w:numPr>
          <w:ilvl w:val="1"/>
          <w:numId w:val="46"/>
        </w:numPr>
        <w:jc w:val="both"/>
        <w:rPr>
          <w:rFonts w:cs="Arial"/>
          <w:lang w:eastAsia="ja-JP"/>
        </w:rPr>
      </w:pPr>
      <w:r>
        <w:rPr>
          <w:rFonts w:cs="Arial"/>
          <w:lang w:eastAsia="ja-JP"/>
        </w:rPr>
        <w:t>“20M” refers to 20MHz channel bandwidth (CBW);</w:t>
      </w:r>
    </w:p>
    <w:p w14:paraId="044230B6" w14:textId="76C1905A" w:rsidR="00D727DA" w:rsidRDefault="00D727DA" w:rsidP="00D727DA">
      <w:pPr>
        <w:pStyle w:val="ListParagraph"/>
        <w:numPr>
          <w:ilvl w:val="1"/>
          <w:numId w:val="46"/>
        </w:numPr>
        <w:jc w:val="both"/>
        <w:rPr>
          <w:rFonts w:cs="Arial"/>
          <w:lang w:eastAsia="ja-JP"/>
        </w:rPr>
      </w:pPr>
      <w:r>
        <w:rPr>
          <w:rFonts w:cs="Arial"/>
          <w:lang w:eastAsia="ja-JP"/>
        </w:rPr>
        <w:t>“0” refers to numerology “0”, i.e. SCS15kHz;</w:t>
      </w:r>
      <w:r w:rsidR="00FC16BE">
        <w:rPr>
          <w:rFonts w:cs="Arial"/>
          <w:lang w:eastAsia="ja-JP"/>
        </w:rPr>
        <w:t xml:space="preserve"> and</w:t>
      </w:r>
    </w:p>
    <w:p w14:paraId="71EBADBD" w14:textId="196996EF" w:rsidR="00D727DA" w:rsidRDefault="00D727DA" w:rsidP="00D727DA">
      <w:pPr>
        <w:pStyle w:val="ListParagraph"/>
        <w:numPr>
          <w:ilvl w:val="1"/>
          <w:numId w:val="46"/>
        </w:numPr>
        <w:jc w:val="both"/>
        <w:rPr>
          <w:rFonts w:cs="Arial"/>
          <w:lang w:eastAsia="ja-JP"/>
        </w:rPr>
      </w:pPr>
      <w:r>
        <w:rPr>
          <w:rFonts w:cs="Arial"/>
          <w:lang w:eastAsia="ja-JP"/>
        </w:rPr>
        <w:t xml:space="preserve">“100RB3” refers to </w:t>
      </w:r>
      <w:proofErr w:type="spellStart"/>
      <w:r>
        <w:rPr>
          <w:rFonts w:cs="Arial"/>
          <w:lang w:eastAsia="ja-JP"/>
        </w:rPr>
        <w:t>Lcrb</w:t>
      </w:r>
      <w:proofErr w:type="spellEnd"/>
      <w:r>
        <w:rPr>
          <w:rFonts w:cs="Arial"/>
          <w:lang w:eastAsia="ja-JP"/>
        </w:rPr>
        <w:t xml:space="preserve">=100RBs with start position </w:t>
      </w:r>
      <w:proofErr w:type="spellStart"/>
      <w:r>
        <w:rPr>
          <w:rFonts w:cs="Arial"/>
          <w:lang w:eastAsia="ja-JP"/>
        </w:rPr>
        <w:t>RBstart</w:t>
      </w:r>
      <w:proofErr w:type="spellEnd"/>
      <w:r>
        <w:rPr>
          <w:rFonts w:cs="Arial"/>
          <w:lang w:eastAsia="ja-JP"/>
        </w:rPr>
        <w:t>=3</w:t>
      </w:r>
      <w:r w:rsidR="00FC16BE">
        <w:rPr>
          <w:rFonts w:cs="Arial"/>
          <w:lang w:eastAsia="ja-JP"/>
        </w:rPr>
        <w:t>.</w:t>
      </w:r>
    </w:p>
    <w:p w14:paraId="2233AC7D" w14:textId="796CDAA0" w:rsidR="004D2AA2" w:rsidRDefault="004D2AA2" w:rsidP="00BE113D">
      <w:pPr>
        <w:jc w:val="both"/>
        <w:rPr>
          <w:rFonts w:cs="Arial"/>
          <w:lang w:eastAsia="ja-JP"/>
        </w:rPr>
      </w:pPr>
      <w:r w:rsidRPr="004D2AA2">
        <w:rPr>
          <w:noProof/>
        </w:rPr>
        <w:drawing>
          <wp:inline distT="0" distB="0" distL="0" distR="0" wp14:anchorId="600C35EB" wp14:editId="58524AB6">
            <wp:extent cx="6646545" cy="817880"/>
            <wp:effectExtent l="0" t="0" r="190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817880"/>
                    </a:xfrm>
                    <a:prstGeom prst="rect">
                      <a:avLst/>
                    </a:prstGeom>
                  </pic:spPr>
                </pic:pic>
              </a:graphicData>
            </a:graphic>
          </wp:inline>
        </w:drawing>
      </w:r>
    </w:p>
    <w:p w14:paraId="4052B99B" w14:textId="7919BAC3" w:rsidR="00D603D8" w:rsidRDefault="00A0725F" w:rsidP="00A0725F">
      <w:pPr>
        <w:pStyle w:val="Caption"/>
        <w:rPr>
          <w:rFonts w:cs="Arial"/>
          <w:lang w:eastAsia="ja-JP"/>
        </w:rPr>
      </w:pPr>
      <w:bookmarkStart w:id="3" w:name="_Ref85751213"/>
      <w:r>
        <w:t xml:space="preserve">Figure </w:t>
      </w:r>
      <w:r w:rsidR="00446CFE">
        <w:rPr>
          <w:noProof/>
        </w:rPr>
        <w:fldChar w:fldCharType="begin"/>
      </w:r>
      <w:r w:rsidR="00446CFE">
        <w:rPr>
          <w:noProof/>
        </w:rPr>
        <w:instrText xml:space="preserve"> SEQ Figure \* ARABIC </w:instrText>
      </w:r>
      <w:r w:rsidR="00446CFE">
        <w:rPr>
          <w:noProof/>
        </w:rPr>
        <w:fldChar w:fldCharType="separate"/>
      </w:r>
      <w:r>
        <w:rPr>
          <w:noProof/>
        </w:rPr>
        <w:t>1</w:t>
      </w:r>
      <w:r w:rsidR="00446CFE">
        <w:rPr>
          <w:noProof/>
        </w:rPr>
        <w:fldChar w:fldCharType="end"/>
      </w:r>
      <w:bookmarkEnd w:id="3"/>
      <w:r>
        <w:t xml:space="preserve">: </w:t>
      </w:r>
      <w:r w:rsidR="00003E22" w:rsidRPr="00003E22">
        <w:rPr>
          <w:b w:val="0"/>
        </w:rPr>
        <w:t xml:space="preserve">Sketch of </w:t>
      </w:r>
      <w:r w:rsidRPr="00003E22">
        <w:rPr>
          <w:b w:val="0"/>
        </w:rPr>
        <w:t>[CP 1RBI_0] + [CP 1RBI_0] [00011000] waveform example</w:t>
      </w:r>
      <w:r w:rsidR="00003E22" w:rsidRPr="00003E22">
        <w:rPr>
          <w:b w:val="0"/>
        </w:rPr>
        <w:t>:</w:t>
      </w:r>
      <w:r w:rsidR="004D2AA2" w:rsidRPr="00003E22">
        <w:rPr>
          <w:b w:val="0"/>
        </w:rPr>
        <w:t xml:space="preserve"> 80+80MHz UL-CA, 10x1RB_0 transmitted in sub-band #4 CC1 and in sub-band #1 of CC2 using lowest SCS of 30kHz.</w:t>
      </w:r>
      <w:r w:rsidR="00003E22" w:rsidRPr="00003E22">
        <w:rPr>
          <w:b w:val="0"/>
        </w:rPr>
        <w:t xml:space="preserve"> Non-transmitted sub-bands are not shown.</w:t>
      </w:r>
    </w:p>
    <w:p w14:paraId="69722DB8" w14:textId="5C50E933" w:rsidR="00D603D8" w:rsidRDefault="00D603D8" w:rsidP="00BE113D">
      <w:pPr>
        <w:jc w:val="both"/>
        <w:rPr>
          <w:rFonts w:cs="Arial"/>
          <w:lang w:eastAsia="ja-JP"/>
        </w:rPr>
      </w:pPr>
    </w:p>
    <w:p w14:paraId="0A87991A" w14:textId="77777777" w:rsidR="00D603D8" w:rsidRPr="0047368B" w:rsidRDefault="00D603D8" w:rsidP="00BE113D">
      <w:pPr>
        <w:jc w:val="both"/>
        <w:rPr>
          <w:rFonts w:cs="Arial"/>
          <w:lang w:eastAsia="ja-JP"/>
        </w:rPr>
      </w:pPr>
    </w:p>
    <w:p w14:paraId="49013116" w14:textId="6B14DE66" w:rsidR="00D603D8" w:rsidRPr="006B0CFE" w:rsidRDefault="00D603D8" w:rsidP="00D603D8">
      <w:pPr>
        <w:pStyle w:val="Caption"/>
        <w:jc w:val="center"/>
        <w:rPr>
          <w:sz w:val="22"/>
        </w:rPr>
      </w:pPr>
      <w:bookmarkStart w:id="4" w:name="_Ref85748044"/>
      <w:r w:rsidRPr="006B0CFE">
        <w:t xml:space="preserve">Table </w:t>
      </w:r>
      <w:r w:rsidR="00446CFE">
        <w:rPr>
          <w:noProof/>
        </w:rPr>
        <w:fldChar w:fldCharType="begin"/>
      </w:r>
      <w:r w:rsidR="00446CFE">
        <w:rPr>
          <w:noProof/>
        </w:rPr>
        <w:instrText xml:space="preserve"> SEQ Table \* ARABIC </w:instrText>
      </w:r>
      <w:r w:rsidR="00446CFE">
        <w:rPr>
          <w:noProof/>
        </w:rPr>
        <w:fldChar w:fldCharType="separate"/>
      </w:r>
      <w:r w:rsidRPr="006B0CFE">
        <w:rPr>
          <w:noProof/>
        </w:rPr>
        <w:t>1</w:t>
      </w:r>
      <w:r w:rsidR="00446CFE">
        <w:rPr>
          <w:noProof/>
        </w:rPr>
        <w:fldChar w:fldCharType="end"/>
      </w:r>
      <w:bookmarkEnd w:id="4"/>
      <w:r w:rsidRPr="006B0CFE">
        <w:t xml:space="preserve">: </w:t>
      </w:r>
      <w:r w:rsidRPr="00D603D8">
        <w:rPr>
          <w:b w:val="0"/>
        </w:rPr>
        <w:t>List of measured NR-U waveforms</w:t>
      </w:r>
    </w:p>
    <w:tbl>
      <w:tblPr>
        <w:tblW w:w="0" w:type="auto"/>
        <w:jc w:val="center"/>
        <w:tblLook w:val="04A0" w:firstRow="1" w:lastRow="0" w:firstColumn="1" w:lastColumn="0" w:noHBand="0" w:noVBand="1"/>
      </w:tblPr>
      <w:tblGrid>
        <w:gridCol w:w="753"/>
        <w:gridCol w:w="3801"/>
        <w:gridCol w:w="729"/>
      </w:tblGrid>
      <w:tr w:rsidR="0056485F" w:rsidRPr="006B0CFE" w14:paraId="14D2399E" w14:textId="77777777" w:rsidTr="0056485F">
        <w:trPr>
          <w:cantSplit/>
          <w:trHeight w:val="20"/>
          <w:jc w:val="center"/>
        </w:trPr>
        <w:tc>
          <w:tcPr>
            <w:tcW w:w="753"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DC4F5AE" w14:textId="77777777" w:rsidR="0056485F" w:rsidRPr="00343231" w:rsidRDefault="0056485F" w:rsidP="00D603D8">
            <w:pPr>
              <w:spacing w:after="0"/>
              <w:rPr>
                <w:color w:val="000000"/>
                <w:szCs w:val="22"/>
              </w:rPr>
            </w:pPr>
            <w:r w:rsidRPr="00343231">
              <w:rPr>
                <w:color w:val="000000"/>
                <w:szCs w:val="22"/>
              </w:rPr>
              <w:t> </w:t>
            </w:r>
          </w:p>
        </w:tc>
        <w:tc>
          <w:tcPr>
            <w:tcW w:w="0" w:type="auto"/>
            <w:tcBorders>
              <w:top w:val="single" w:sz="8" w:space="0" w:color="auto"/>
              <w:left w:val="nil"/>
              <w:bottom w:val="single" w:sz="8" w:space="0" w:color="auto"/>
              <w:right w:val="nil"/>
            </w:tcBorders>
            <w:shd w:val="clear" w:color="auto" w:fill="auto"/>
            <w:noWrap/>
            <w:vAlign w:val="bottom"/>
            <w:hideMark/>
          </w:tcPr>
          <w:p w14:paraId="1811E224" w14:textId="77777777" w:rsidR="0056485F" w:rsidRPr="00343231" w:rsidRDefault="0056485F" w:rsidP="00D603D8">
            <w:pPr>
              <w:spacing w:after="0"/>
              <w:rPr>
                <w:b/>
                <w:bCs/>
                <w:color w:val="000000"/>
                <w:szCs w:val="22"/>
              </w:rPr>
            </w:pPr>
            <w:r w:rsidRPr="00343231">
              <w:rPr>
                <w:b/>
                <w:bCs/>
                <w:color w:val="000000"/>
                <w:szCs w:val="22"/>
              </w:rPr>
              <w:t>Waveform Name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79F4977" w14:textId="77777777" w:rsidR="0056485F" w:rsidRPr="00343231" w:rsidRDefault="0056485F" w:rsidP="00D603D8">
            <w:pPr>
              <w:spacing w:after="0"/>
              <w:jc w:val="center"/>
              <w:rPr>
                <w:b/>
                <w:bCs/>
                <w:color w:val="000000"/>
                <w:szCs w:val="22"/>
              </w:rPr>
            </w:pPr>
            <w:r w:rsidRPr="00343231">
              <w:rPr>
                <w:b/>
                <w:bCs/>
                <w:color w:val="000000"/>
                <w:szCs w:val="22"/>
              </w:rPr>
              <w:t>SCS</w:t>
            </w:r>
          </w:p>
        </w:tc>
      </w:tr>
      <w:tr w:rsidR="0056485F" w:rsidRPr="006B0CFE" w14:paraId="5C225012" w14:textId="77777777" w:rsidTr="0056485F">
        <w:trPr>
          <w:cantSplit/>
          <w:trHeight w:val="20"/>
          <w:jc w:val="center"/>
        </w:trPr>
        <w:tc>
          <w:tcPr>
            <w:tcW w:w="753"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5FF92A1A" w14:textId="05BB69D7" w:rsidR="0056485F" w:rsidRPr="00343231" w:rsidRDefault="0056485F" w:rsidP="00D603D8">
            <w:pPr>
              <w:spacing w:after="0"/>
              <w:jc w:val="center"/>
              <w:rPr>
                <w:b/>
                <w:bCs/>
                <w:color w:val="000000"/>
              </w:rPr>
            </w:pPr>
            <w:r>
              <w:rPr>
                <w:b/>
                <w:bCs/>
                <w:color w:val="000000"/>
              </w:rPr>
              <w:t>20+20 MHz UL-CA</w:t>
            </w:r>
          </w:p>
        </w:tc>
        <w:tc>
          <w:tcPr>
            <w:tcW w:w="0" w:type="auto"/>
            <w:tcBorders>
              <w:top w:val="nil"/>
              <w:left w:val="nil"/>
              <w:bottom w:val="single" w:sz="4" w:space="0" w:color="auto"/>
              <w:right w:val="nil"/>
            </w:tcBorders>
            <w:shd w:val="clear" w:color="auto" w:fill="auto"/>
            <w:noWrap/>
            <w:vAlign w:val="center"/>
            <w:hideMark/>
          </w:tcPr>
          <w:p w14:paraId="74D12120" w14:textId="7012C559" w:rsidR="0056485F" w:rsidRPr="00343231" w:rsidRDefault="0056485F" w:rsidP="00D603D8">
            <w:pPr>
              <w:spacing w:after="0"/>
              <w:jc w:val="center"/>
              <w:rPr>
                <w:color w:val="000000"/>
                <w:szCs w:val="22"/>
              </w:rPr>
            </w:pPr>
            <w:r w:rsidRPr="00BD6F6D">
              <w:rPr>
                <w:color w:val="000000"/>
                <w:szCs w:val="22"/>
              </w:rPr>
              <w:t>[CP Full] + [CP Full] [20+20]</w:t>
            </w:r>
          </w:p>
        </w:tc>
        <w:tc>
          <w:tcPr>
            <w:tcW w:w="0" w:type="auto"/>
            <w:tcBorders>
              <w:top w:val="nil"/>
              <w:left w:val="nil"/>
              <w:bottom w:val="single" w:sz="4" w:space="0" w:color="auto"/>
              <w:right w:val="single" w:sz="8" w:space="0" w:color="auto"/>
            </w:tcBorders>
            <w:shd w:val="clear" w:color="auto" w:fill="auto"/>
            <w:noWrap/>
            <w:vAlign w:val="center"/>
            <w:hideMark/>
          </w:tcPr>
          <w:p w14:paraId="513E3FCC" w14:textId="18611984" w:rsidR="0056485F" w:rsidRPr="00343231" w:rsidRDefault="0056485F" w:rsidP="00D603D8">
            <w:pPr>
              <w:spacing w:after="0"/>
              <w:jc w:val="center"/>
              <w:rPr>
                <w:color w:val="000000"/>
                <w:szCs w:val="22"/>
              </w:rPr>
            </w:pPr>
            <w:r w:rsidRPr="00343231">
              <w:rPr>
                <w:color w:val="000000"/>
                <w:szCs w:val="22"/>
              </w:rPr>
              <w:t>15</w:t>
            </w:r>
            <w:r>
              <w:rPr>
                <w:color w:val="000000"/>
                <w:szCs w:val="22"/>
              </w:rPr>
              <w:t>+15</w:t>
            </w:r>
          </w:p>
        </w:tc>
      </w:tr>
      <w:tr w:rsidR="0056485F" w:rsidRPr="006B0CFE" w14:paraId="75416B90" w14:textId="77777777" w:rsidTr="0056485F">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B66B003" w14:textId="77777777" w:rsidR="0056485F" w:rsidRPr="00343231" w:rsidRDefault="0056485F" w:rsidP="00D603D8">
            <w:pPr>
              <w:spacing w:after="0"/>
              <w:jc w:val="center"/>
              <w:rPr>
                <w:b/>
                <w:bCs/>
                <w:color w:val="000000"/>
              </w:rPr>
            </w:pPr>
          </w:p>
        </w:tc>
        <w:tc>
          <w:tcPr>
            <w:tcW w:w="0" w:type="auto"/>
            <w:tcBorders>
              <w:top w:val="nil"/>
              <w:left w:val="nil"/>
              <w:bottom w:val="single" w:sz="4" w:space="0" w:color="auto"/>
              <w:right w:val="nil"/>
            </w:tcBorders>
            <w:shd w:val="clear" w:color="auto" w:fill="auto"/>
            <w:noWrap/>
            <w:vAlign w:val="center"/>
            <w:hideMark/>
          </w:tcPr>
          <w:p w14:paraId="1D7B2507" w14:textId="4C450F13" w:rsidR="0056485F" w:rsidRPr="00343231" w:rsidRDefault="0056485F" w:rsidP="00D603D8">
            <w:pPr>
              <w:spacing w:after="0"/>
              <w:jc w:val="center"/>
              <w:rPr>
                <w:color w:val="000000"/>
                <w:szCs w:val="22"/>
              </w:rPr>
            </w:pPr>
            <w:r w:rsidRPr="00BD6F6D">
              <w:rPr>
                <w:color w:val="000000"/>
                <w:szCs w:val="22"/>
              </w:rPr>
              <w:t>[CP 1RBI_0] + [CP 1RBI_0] [20+20]</w:t>
            </w:r>
          </w:p>
        </w:tc>
        <w:tc>
          <w:tcPr>
            <w:tcW w:w="0" w:type="auto"/>
            <w:tcBorders>
              <w:top w:val="nil"/>
              <w:left w:val="nil"/>
              <w:bottom w:val="single" w:sz="4" w:space="0" w:color="auto"/>
              <w:right w:val="single" w:sz="8" w:space="0" w:color="auto"/>
            </w:tcBorders>
            <w:shd w:val="clear" w:color="auto" w:fill="auto"/>
            <w:noWrap/>
            <w:vAlign w:val="center"/>
            <w:hideMark/>
          </w:tcPr>
          <w:p w14:paraId="2967269F" w14:textId="44C4089F" w:rsidR="0056485F" w:rsidRPr="00343231" w:rsidRDefault="0056485F" w:rsidP="00D603D8">
            <w:pPr>
              <w:spacing w:after="0"/>
              <w:jc w:val="center"/>
              <w:rPr>
                <w:color w:val="000000"/>
                <w:szCs w:val="22"/>
              </w:rPr>
            </w:pPr>
            <w:r w:rsidRPr="00343231">
              <w:rPr>
                <w:color w:val="000000"/>
                <w:szCs w:val="22"/>
              </w:rPr>
              <w:t>15</w:t>
            </w:r>
            <w:r>
              <w:rPr>
                <w:color w:val="000000"/>
                <w:szCs w:val="22"/>
              </w:rPr>
              <w:t>+15</w:t>
            </w:r>
          </w:p>
        </w:tc>
      </w:tr>
      <w:tr w:rsidR="0056485F" w:rsidRPr="006B0CFE" w14:paraId="18F08C99" w14:textId="77777777" w:rsidTr="0056485F">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69C8704A" w14:textId="77777777" w:rsidR="0056485F" w:rsidRPr="00343231" w:rsidRDefault="0056485F" w:rsidP="00D603D8">
            <w:pPr>
              <w:spacing w:after="0"/>
              <w:jc w:val="center"/>
              <w:rPr>
                <w:b/>
                <w:bCs/>
                <w:color w:val="000000"/>
              </w:rPr>
            </w:pPr>
          </w:p>
        </w:tc>
        <w:tc>
          <w:tcPr>
            <w:tcW w:w="0" w:type="auto"/>
            <w:tcBorders>
              <w:top w:val="nil"/>
              <w:left w:val="nil"/>
              <w:bottom w:val="single" w:sz="4" w:space="0" w:color="auto"/>
              <w:right w:val="nil"/>
            </w:tcBorders>
            <w:shd w:val="clear" w:color="auto" w:fill="auto"/>
            <w:noWrap/>
            <w:vAlign w:val="center"/>
            <w:hideMark/>
          </w:tcPr>
          <w:p w14:paraId="4988C630" w14:textId="26D28513" w:rsidR="0056485F" w:rsidRPr="00343231" w:rsidRDefault="0056485F" w:rsidP="00D603D8">
            <w:pPr>
              <w:spacing w:after="0"/>
              <w:jc w:val="center"/>
              <w:rPr>
                <w:color w:val="000000"/>
                <w:szCs w:val="22"/>
              </w:rPr>
            </w:pPr>
            <w:r w:rsidRPr="00BD6F6D">
              <w:rPr>
                <w:color w:val="000000"/>
                <w:szCs w:val="22"/>
              </w:rPr>
              <w:t>[CP 1RBI_0] + [CP 1RBI_5] [20+20]</w:t>
            </w:r>
          </w:p>
        </w:tc>
        <w:tc>
          <w:tcPr>
            <w:tcW w:w="0" w:type="auto"/>
            <w:tcBorders>
              <w:top w:val="nil"/>
              <w:left w:val="nil"/>
              <w:bottom w:val="single" w:sz="4" w:space="0" w:color="auto"/>
              <w:right w:val="single" w:sz="8" w:space="0" w:color="auto"/>
            </w:tcBorders>
            <w:shd w:val="clear" w:color="auto" w:fill="auto"/>
            <w:noWrap/>
            <w:vAlign w:val="center"/>
            <w:hideMark/>
          </w:tcPr>
          <w:p w14:paraId="59512475" w14:textId="618D92B9" w:rsidR="0056485F" w:rsidRPr="00343231" w:rsidRDefault="0056485F" w:rsidP="00D603D8">
            <w:pPr>
              <w:spacing w:after="0"/>
              <w:jc w:val="center"/>
              <w:rPr>
                <w:color w:val="000000"/>
                <w:szCs w:val="22"/>
              </w:rPr>
            </w:pPr>
            <w:r w:rsidRPr="00343231">
              <w:rPr>
                <w:color w:val="000000"/>
                <w:szCs w:val="22"/>
              </w:rPr>
              <w:t>15</w:t>
            </w:r>
            <w:r>
              <w:rPr>
                <w:color w:val="000000"/>
                <w:szCs w:val="22"/>
              </w:rPr>
              <w:t>+15</w:t>
            </w:r>
          </w:p>
        </w:tc>
      </w:tr>
      <w:tr w:rsidR="0056485F" w:rsidRPr="006B0CFE" w14:paraId="5155C3B0" w14:textId="77777777" w:rsidTr="0056485F">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F4E993B" w14:textId="77777777" w:rsidR="0056485F" w:rsidRPr="00343231" w:rsidRDefault="0056485F" w:rsidP="00D603D8">
            <w:pPr>
              <w:spacing w:after="0"/>
              <w:jc w:val="center"/>
              <w:rPr>
                <w:b/>
                <w:bCs/>
                <w:color w:val="000000"/>
              </w:rPr>
            </w:pPr>
          </w:p>
        </w:tc>
        <w:tc>
          <w:tcPr>
            <w:tcW w:w="0" w:type="auto"/>
            <w:tcBorders>
              <w:top w:val="nil"/>
              <w:left w:val="nil"/>
              <w:bottom w:val="single" w:sz="4" w:space="0" w:color="auto"/>
              <w:right w:val="nil"/>
            </w:tcBorders>
            <w:shd w:val="clear" w:color="auto" w:fill="auto"/>
            <w:noWrap/>
            <w:vAlign w:val="center"/>
            <w:hideMark/>
          </w:tcPr>
          <w:p w14:paraId="6559497E" w14:textId="02EF135C" w:rsidR="0056485F" w:rsidRPr="00343231" w:rsidRDefault="0056485F" w:rsidP="00D603D8">
            <w:pPr>
              <w:spacing w:after="0"/>
              <w:jc w:val="center"/>
              <w:rPr>
                <w:color w:val="000000"/>
                <w:szCs w:val="22"/>
              </w:rPr>
            </w:pPr>
            <w:r w:rsidRPr="00BD6F6D">
              <w:rPr>
                <w:color w:val="000000"/>
                <w:szCs w:val="22"/>
              </w:rPr>
              <w:t>[DFT Full] + [DFT Full] [20+20]</w:t>
            </w:r>
          </w:p>
        </w:tc>
        <w:tc>
          <w:tcPr>
            <w:tcW w:w="0" w:type="auto"/>
            <w:tcBorders>
              <w:top w:val="nil"/>
              <w:left w:val="nil"/>
              <w:bottom w:val="single" w:sz="4" w:space="0" w:color="auto"/>
              <w:right w:val="single" w:sz="8" w:space="0" w:color="auto"/>
            </w:tcBorders>
            <w:shd w:val="clear" w:color="auto" w:fill="auto"/>
            <w:noWrap/>
            <w:vAlign w:val="center"/>
            <w:hideMark/>
          </w:tcPr>
          <w:p w14:paraId="23DC3123" w14:textId="0BA08F3D" w:rsidR="0056485F" w:rsidRPr="00343231" w:rsidRDefault="0056485F" w:rsidP="00D603D8">
            <w:pPr>
              <w:spacing w:after="0"/>
              <w:jc w:val="center"/>
              <w:rPr>
                <w:color w:val="000000"/>
                <w:szCs w:val="22"/>
              </w:rPr>
            </w:pPr>
            <w:r w:rsidRPr="00343231">
              <w:rPr>
                <w:color w:val="000000"/>
                <w:szCs w:val="22"/>
              </w:rPr>
              <w:t>15</w:t>
            </w:r>
            <w:r>
              <w:rPr>
                <w:color w:val="000000"/>
                <w:szCs w:val="22"/>
              </w:rPr>
              <w:t>+15</w:t>
            </w:r>
          </w:p>
        </w:tc>
      </w:tr>
      <w:tr w:rsidR="0056485F" w:rsidRPr="006B0CFE" w14:paraId="7E6B9FC0" w14:textId="77777777" w:rsidTr="0056485F">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624104B6" w14:textId="77777777" w:rsidR="0056485F" w:rsidRPr="00343231" w:rsidRDefault="0056485F" w:rsidP="00D603D8">
            <w:pPr>
              <w:spacing w:after="0"/>
              <w:jc w:val="center"/>
              <w:rPr>
                <w:b/>
                <w:bCs/>
                <w:color w:val="000000"/>
              </w:rPr>
            </w:pPr>
          </w:p>
        </w:tc>
        <w:tc>
          <w:tcPr>
            <w:tcW w:w="0" w:type="auto"/>
            <w:tcBorders>
              <w:top w:val="nil"/>
              <w:left w:val="nil"/>
              <w:bottom w:val="single" w:sz="4" w:space="0" w:color="auto"/>
              <w:right w:val="nil"/>
            </w:tcBorders>
            <w:shd w:val="clear" w:color="auto" w:fill="auto"/>
            <w:noWrap/>
            <w:vAlign w:val="center"/>
            <w:hideMark/>
          </w:tcPr>
          <w:p w14:paraId="735EA8C9" w14:textId="0B1AA2A0" w:rsidR="0056485F" w:rsidRPr="00343231" w:rsidRDefault="0056485F" w:rsidP="00D603D8">
            <w:pPr>
              <w:spacing w:after="0"/>
              <w:jc w:val="center"/>
              <w:rPr>
                <w:color w:val="000000"/>
                <w:szCs w:val="22"/>
              </w:rPr>
            </w:pPr>
            <w:r w:rsidRPr="00BD6F6D">
              <w:rPr>
                <w:color w:val="000000"/>
                <w:szCs w:val="22"/>
              </w:rPr>
              <w:t>[DFT 1RBI_0] + [DFT 1RBI_0] [20+20]</w:t>
            </w:r>
          </w:p>
        </w:tc>
        <w:tc>
          <w:tcPr>
            <w:tcW w:w="0" w:type="auto"/>
            <w:tcBorders>
              <w:top w:val="nil"/>
              <w:left w:val="nil"/>
              <w:bottom w:val="single" w:sz="4" w:space="0" w:color="auto"/>
              <w:right w:val="single" w:sz="8" w:space="0" w:color="auto"/>
            </w:tcBorders>
            <w:shd w:val="clear" w:color="auto" w:fill="auto"/>
            <w:noWrap/>
            <w:vAlign w:val="center"/>
            <w:hideMark/>
          </w:tcPr>
          <w:p w14:paraId="2B9496D8" w14:textId="0CE95226" w:rsidR="0056485F" w:rsidRPr="00343231" w:rsidRDefault="0056485F" w:rsidP="00D603D8">
            <w:pPr>
              <w:spacing w:after="0"/>
              <w:jc w:val="center"/>
              <w:rPr>
                <w:color w:val="000000"/>
                <w:szCs w:val="22"/>
              </w:rPr>
            </w:pPr>
            <w:r w:rsidRPr="00343231">
              <w:rPr>
                <w:color w:val="000000"/>
                <w:szCs w:val="22"/>
              </w:rPr>
              <w:t>15</w:t>
            </w:r>
            <w:r>
              <w:rPr>
                <w:color w:val="000000"/>
                <w:szCs w:val="22"/>
              </w:rPr>
              <w:t>+15</w:t>
            </w:r>
          </w:p>
        </w:tc>
      </w:tr>
      <w:tr w:rsidR="0056485F" w:rsidRPr="006B0CFE" w14:paraId="5800073A" w14:textId="77777777" w:rsidTr="006730FA">
        <w:trPr>
          <w:cantSplit/>
          <w:trHeight w:val="20"/>
          <w:jc w:val="center"/>
        </w:trPr>
        <w:tc>
          <w:tcPr>
            <w:tcW w:w="753"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0CDADCF" w14:textId="7C30AC52" w:rsidR="0056485F" w:rsidRPr="00343231" w:rsidRDefault="006730FA" w:rsidP="00D603D8">
            <w:pPr>
              <w:spacing w:after="0"/>
              <w:jc w:val="center"/>
              <w:rPr>
                <w:b/>
                <w:bCs/>
                <w:color w:val="000000"/>
              </w:rPr>
            </w:pPr>
            <w:r>
              <w:rPr>
                <w:b/>
                <w:bCs/>
                <w:color w:val="000000"/>
              </w:rPr>
              <w:t>80+80 MHZ UL-CA</w:t>
            </w:r>
          </w:p>
        </w:tc>
        <w:tc>
          <w:tcPr>
            <w:tcW w:w="0" w:type="auto"/>
            <w:tcBorders>
              <w:top w:val="nil"/>
              <w:left w:val="nil"/>
              <w:bottom w:val="single" w:sz="4" w:space="0" w:color="auto"/>
              <w:right w:val="nil"/>
            </w:tcBorders>
            <w:shd w:val="clear" w:color="auto" w:fill="auto"/>
            <w:noWrap/>
            <w:vAlign w:val="center"/>
          </w:tcPr>
          <w:p w14:paraId="1D91DB55" w14:textId="5F0E1870" w:rsidR="0056485F" w:rsidRPr="00343231" w:rsidRDefault="006730FA" w:rsidP="006730FA">
            <w:pPr>
              <w:spacing w:after="0"/>
              <w:jc w:val="center"/>
              <w:rPr>
                <w:color w:val="000000"/>
                <w:szCs w:val="22"/>
              </w:rPr>
            </w:pPr>
            <w:r w:rsidRPr="006730FA">
              <w:rPr>
                <w:color w:val="000000"/>
                <w:szCs w:val="22"/>
              </w:rPr>
              <w:t>[CP Full] + [CP Full] [00011000]</w:t>
            </w:r>
          </w:p>
        </w:tc>
        <w:tc>
          <w:tcPr>
            <w:tcW w:w="0" w:type="auto"/>
            <w:tcBorders>
              <w:top w:val="nil"/>
              <w:left w:val="nil"/>
              <w:bottom w:val="single" w:sz="4" w:space="0" w:color="auto"/>
              <w:right w:val="single" w:sz="8" w:space="0" w:color="auto"/>
            </w:tcBorders>
            <w:shd w:val="clear" w:color="auto" w:fill="auto"/>
            <w:noWrap/>
            <w:vAlign w:val="center"/>
            <w:hideMark/>
          </w:tcPr>
          <w:p w14:paraId="072600F9" w14:textId="5A14ED1D" w:rsidR="0056485F" w:rsidRPr="00343231" w:rsidRDefault="006730FA" w:rsidP="00D603D8">
            <w:pPr>
              <w:spacing w:after="0"/>
              <w:jc w:val="center"/>
              <w:rPr>
                <w:color w:val="000000"/>
                <w:szCs w:val="22"/>
              </w:rPr>
            </w:pPr>
            <w:r>
              <w:rPr>
                <w:color w:val="000000"/>
                <w:szCs w:val="22"/>
              </w:rPr>
              <w:t>30+30</w:t>
            </w:r>
          </w:p>
        </w:tc>
      </w:tr>
      <w:tr w:rsidR="006730FA" w:rsidRPr="006B0CFE" w14:paraId="25489D27"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142233CF"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7F2A49B6" w14:textId="341B709B" w:rsidR="006730FA" w:rsidRPr="00343231" w:rsidRDefault="006730FA" w:rsidP="006730FA">
            <w:pPr>
              <w:spacing w:after="0"/>
              <w:jc w:val="center"/>
              <w:rPr>
                <w:color w:val="000000"/>
                <w:szCs w:val="22"/>
              </w:rPr>
            </w:pPr>
            <w:r w:rsidRPr="006730FA">
              <w:rPr>
                <w:color w:val="000000"/>
                <w:szCs w:val="22"/>
              </w:rPr>
              <w:t>[CP Full] + [CP Full] [00111000]</w:t>
            </w:r>
          </w:p>
        </w:tc>
        <w:tc>
          <w:tcPr>
            <w:tcW w:w="0" w:type="auto"/>
            <w:tcBorders>
              <w:top w:val="nil"/>
              <w:left w:val="nil"/>
              <w:bottom w:val="single" w:sz="4" w:space="0" w:color="auto"/>
              <w:right w:val="single" w:sz="8" w:space="0" w:color="auto"/>
            </w:tcBorders>
            <w:shd w:val="clear" w:color="auto" w:fill="auto"/>
            <w:noWrap/>
            <w:hideMark/>
          </w:tcPr>
          <w:p w14:paraId="7AF1B20D" w14:textId="45C8BDFC"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4DEA93A7"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6DC1A187"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385EB95F" w14:textId="01339D05" w:rsidR="006730FA" w:rsidRPr="00343231" w:rsidRDefault="006730FA" w:rsidP="006730FA">
            <w:pPr>
              <w:spacing w:after="0"/>
              <w:jc w:val="center"/>
              <w:rPr>
                <w:color w:val="000000"/>
                <w:szCs w:val="22"/>
              </w:rPr>
            </w:pPr>
            <w:r w:rsidRPr="006730FA">
              <w:rPr>
                <w:color w:val="000000"/>
                <w:szCs w:val="22"/>
              </w:rPr>
              <w:t>[CP Full] + [CP Full] [01111000]</w:t>
            </w:r>
          </w:p>
        </w:tc>
        <w:tc>
          <w:tcPr>
            <w:tcW w:w="0" w:type="auto"/>
            <w:tcBorders>
              <w:top w:val="nil"/>
              <w:left w:val="nil"/>
              <w:bottom w:val="single" w:sz="4" w:space="0" w:color="auto"/>
              <w:right w:val="single" w:sz="8" w:space="0" w:color="auto"/>
            </w:tcBorders>
            <w:shd w:val="clear" w:color="auto" w:fill="auto"/>
            <w:noWrap/>
            <w:hideMark/>
          </w:tcPr>
          <w:p w14:paraId="2E60AD71" w14:textId="7F7F4651"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7F899CDB"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3B2F5213"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216C65AA" w14:textId="05DC3596" w:rsidR="006730FA" w:rsidRPr="00343231" w:rsidRDefault="006730FA" w:rsidP="006730FA">
            <w:pPr>
              <w:spacing w:after="0"/>
              <w:jc w:val="center"/>
              <w:rPr>
                <w:color w:val="000000"/>
                <w:szCs w:val="22"/>
              </w:rPr>
            </w:pPr>
            <w:r w:rsidRPr="006730FA">
              <w:rPr>
                <w:color w:val="000000"/>
                <w:szCs w:val="22"/>
              </w:rPr>
              <w:t>[CP Full] + [CP Full] [11111000]</w:t>
            </w:r>
          </w:p>
        </w:tc>
        <w:tc>
          <w:tcPr>
            <w:tcW w:w="0" w:type="auto"/>
            <w:tcBorders>
              <w:top w:val="nil"/>
              <w:left w:val="nil"/>
              <w:bottom w:val="single" w:sz="4" w:space="0" w:color="auto"/>
              <w:right w:val="single" w:sz="8" w:space="0" w:color="auto"/>
            </w:tcBorders>
            <w:shd w:val="clear" w:color="auto" w:fill="auto"/>
            <w:noWrap/>
            <w:hideMark/>
          </w:tcPr>
          <w:p w14:paraId="47255DBB" w14:textId="79318960"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101B5E64"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D537A2A"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668279CB" w14:textId="65446ECF" w:rsidR="006730FA" w:rsidRPr="00343231" w:rsidRDefault="006730FA" w:rsidP="006730FA">
            <w:pPr>
              <w:spacing w:after="0"/>
              <w:jc w:val="center"/>
              <w:rPr>
                <w:color w:val="000000"/>
                <w:szCs w:val="22"/>
              </w:rPr>
            </w:pPr>
            <w:r w:rsidRPr="006730FA">
              <w:rPr>
                <w:color w:val="000000"/>
                <w:szCs w:val="22"/>
              </w:rPr>
              <w:t>[CP Full] + [CP Full] [11111100]</w:t>
            </w:r>
          </w:p>
        </w:tc>
        <w:tc>
          <w:tcPr>
            <w:tcW w:w="0" w:type="auto"/>
            <w:tcBorders>
              <w:top w:val="nil"/>
              <w:left w:val="nil"/>
              <w:bottom w:val="single" w:sz="4" w:space="0" w:color="auto"/>
              <w:right w:val="single" w:sz="8" w:space="0" w:color="auto"/>
            </w:tcBorders>
            <w:shd w:val="clear" w:color="auto" w:fill="auto"/>
            <w:noWrap/>
            <w:hideMark/>
          </w:tcPr>
          <w:p w14:paraId="7EBF6890" w14:textId="72B91BE0"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565613DE"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0500E265"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0DF9FBC9" w14:textId="7B5A147F" w:rsidR="006730FA" w:rsidRPr="00343231" w:rsidRDefault="006730FA" w:rsidP="006730FA">
            <w:pPr>
              <w:spacing w:after="0"/>
              <w:jc w:val="center"/>
              <w:rPr>
                <w:color w:val="000000"/>
                <w:szCs w:val="22"/>
              </w:rPr>
            </w:pPr>
            <w:r w:rsidRPr="006730FA">
              <w:rPr>
                <w:color w:val="000000"/>
                <w:szCs w:val="22"/>
              </w:rPr>
              <w:t>[CP Full] + [CP Full] [11111110]</w:t>
            </w:r>
          </w:p>
        </w:tc>
        <w:tc>
          <w:tcPr>
            <w:tcW w:w="0" w:type="auto"/>
            <w:tcBorders>
              <w:top w:val="nil"/>
              <w:left w:val="nil"/>
              <w:bottom w:val="single" w:sz="4" w:space="0" w:color="auto"/>
              <w:right w:val="single" w:sz="8" w:space="0" w:color="auto"/>
            </w:tcBorders>
            <w:shd w:val="clear" w:color="auto" w:fill="auto"/>
            <w:noWrap/>
            <w:hideMark/>
          </w:tcPr>
          <w:p w14:paraId="2118FAB1" w14:textId="4189112C"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0F113A22"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3F4514FF"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5843634F" w14:textId="2B5A1F00" w:rsidR="006730FA" w:rsidRPr="00343231" w:rsidRDefault="006730FA" w:rsidP="006730FA">
            <w:pPr>
              <w:spacing w:after="0"/>
              <w:jc w:val="center"/>
              <w:rPr>
                <w:color w:val="000000"/>
                <w:szCs w:val="22"/>
              </w:rPr>
            </w:pPr>
            <w:r w:rsidRPr="006730FA">
              <w:rPr>
                <w:color w:val="000000"/>
                <w:szCs w:val="22"/>
              </w:rPr>
              <w:t>[CP Full] + [CP Full] [11111111]</w:t>
            </w:r>
          </w:p>
        </w:tc>
        <w:tc>
          <w:tcPr>
            <w:tcW w:w="0" w:type="auto"/>
            <w:tcBorders>
              <w:top w:val="nil"/>
              <w:left w:val="nil"/>
              <w:bottom w:val="single" w:sz="4" w:space="0" w:color="auto"/>
              <w:right w:val="single" w:sz="8" w:space="0" w:color="auto"/>
            </w:tcBorders>
            <w:shd w:val="clear" w:color="auto" w:fill="auto"/>
            <w:noWrap/>
            <w:hideMark/>
          </w:tcPr>
          <w:p w14:paraId="0B8BD905" w14:textId="2B97DA85"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3BED911F"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2EFEF5D"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69BE816C" w14:textId="6F43A56F" w:rsidR="006730FA" w:rsidRPr="00343231" w:rsidRDefault="006730FA" w:rsidP="006730FA">
            <w:pPr>
              <w:spacing w:after="0"/>
              <w:jc w:val="center"/>
              <w:rPr>
                <w:color w:val="000000"/>
                <w:szCs w:val="22"/>
              </w:rPr>
            </w:pPr>
            <w:r w:rsidRPr="006730FA">
              <w:rPr>
                <w:color w:val="000000"/>
                <w:szCs w:val="22"/>
              </w:rPr>
              <w:t>[CP 1RBI_0] + [CP 1RBI_0] [00011000]</w:t>
            </w:r>
          </w:p>
        </w:tc>
        <w:tc>
          <w:tcPr>
            <w:tcW w:w="0" w:type="auto"/>
            <w:tcBorders>
              <w:top w:val="nil"/>
              <w:left w:val="nil"/>
              <w:bottom w:val="single" w:sz="4" w:space="0" w:color="auto"/>
              <w:right w:val="single" w:sz="8" w:space="0" w:color="auto"/>
            </w:tcBorders>
            <w:shd w:val="clear" w:color="auto" w:fill="auto"/>
            <w:noWrap/>
            <w:hideMark/>
          </w:tcPr>
          <w:p w14:paraId="33A78030" w14:textId="4F398951"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0AF86C71"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3E52A61"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29979618" w14:textId="7F26F905" w:rsidR="006730FA" w:rsidRPr="00343231" w:rsidRDefault="006730FA" w:rsidP="006730FA">
            <w:pPr>
              <w:spacing w:after="0"/>
              <w:jc w:val="center"/>
              <w:rPr>
                <w:color w:val="000000"/>
                <w:szCs w:val="22"/>
              </w:rPr>
            </w:pPr>
            <w:r w:rsidRPr="006730FA">
              <w:rPr>
                <w:color w:val="000000"/>
                <w:szCs w:val="22"/>
              </w:rPr>
              <w:t>[CP 1RBI_2] + [CP 1RBI_4] [00011000]</w:t>
            </w:r>
          </w:p>
        </w:tc>
        <w:tc>
          <w:tcPr>
            <w:tcW w:w="0" w:type="auto"/>
            <w:tcBorders>
              <w:top w:val="nil"/>
              <w:left w:val="nil"/>
              <w:bottom w:val="single" w:sz="4" w:space="0" w:color="auto"/>
              <w:right w:val="single" w:sz="8" w:space="0" w:color="auto"/>
            </w:tcBorders>
            <w:shd w:val="clear" w:color="auto" w:fill="auto"/>
            <w:noWrap/>
            <w:hideMark/>
          </w:tcPr>
          <w:p w14:paraId="59AE3371" w14:textId="0D75031A"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2DA2A22A"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7764DE39"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73AE333B" w14:textId="01C44912" w:rsidR="006730FA" w:rsidRPr="00343231" w:rsidRDefault="006730FA" w:rsidP="006730FA">
            <w:pPr>
              <w:spacing w:after="0"/>
              <w:jc w:val="center"/>
              <w:rPr>
                <w:color w:val="000000"/>
                <w:szCs w:val="22"/>
              </w:rPr>
            </w:pPr>
            <w:r w:rsidRPr="006730FA">
              <w:rPr>
                <w:color w:val="000000"/>
                <w:szCs w:val="22"/>
              </w:rPr>
              <w:t>[CP 1RBI_1] + [CP 1RBI_1] [01111000]</w:t>
            </w:r>
          </w:p>
        </w:tc>
        <w:tc>
          <w:tcPr>
            <w:tcW w:w="0" w:type="auto"/>
            <w:tcBorders>
              <w:top w:val="nil"/>
              <w:left w:val="nil"/>
              <w:bottom w:val="single" w:sz="4" w:space="0" w:color="auto"/>
              <w:right w:val="single" w:sz="8" w:space="0" w:color="auto"/>
            </w:tcBorders>
            <w:shd w:val="clear" w:color="auto" w:fill="auto"/>
            <w:noWrap/>
            <w:hideMark/>
          </w:tcPr>
          <w:p w14:paraId="29188B3E" w14:textId="1B309C21"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2CB74F9A"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333FA86"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0C1EDBA5" w14:textId="709BBE7F" w:rsidR="006730FA" w:rsidRPr="00343231" w:rsidRDefault="006730FA" w:rsidP="006730FA">
            <w:pPr>
              <w:spacing w:after="0"/>
              <w:jc w:val="center"/>
              <w:rPr>
                <w:color w:val="000000"/>
                <w:szCs w:val="22"/>
              </w:rPr>
            </w:pPr>
            <w:r w:rsidRPr="006730FA">
              <w:rPr>
                <w:color w:val="000000"/>
                <w:szCs w:val="22"/>
              </w:rPr>
              <w:t>[CP 1RBI_0] + [CP 1RBI_4] [01111000]</w:t>
            </w:r>
          </w:p>
        </w:tc>
        <w:tc>
          <w:tcPr>
            <w:tcW w:w="0" w:type="auto"/>
            <w:tcBorders>
              <w:top w:val="nil"/>
              <w:left w:val="nil"/>
              <w:bottom w:val="single" w:sz="4" w:space="0" w:color="auto"/>
              <w:right w:val="single" w:sz="8" w:space="0" w:color="auto"/>
            </w:tcBorders>
            <w:shd w:val="clear" w:color="auto" w:fill="auto"/>
            <w:noWrap/>
            <w:hideMark/>
          </w:tcPr>
          <w:p w14:paraId="39E8A2B8" w14:textId="3075C73B"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7C6C02E1"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0F7589DC"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2B367844" w14:textId="69064012" w:rsidR="006730FA" w:rsidRPr="00343231" w:rsidRDefault="006730FA" w:rsidP="006730FA">
            <w:pPr>
              <w:spacing w:after="0"/>
              <w:jc w:val="center"/>
              <w:rPr>
                <w:color w:val="000000"/>
                <w:szCs w:val="22"/>
              </w:rPr>
            </w:pPr>
            <w:r w:rsidRPr="006730FA">
              <w:rPr>
                <w:color w:val="000000"/>
                <w:szCs w:val="22"/>
              </w:rPr>
              <w:t>[CP 1RBI_0] + [CP 1RBI_0] [11111000]</w:t>
            </w:r>
          </w:p>
        </w:tc>
        <w:tc>
          <w:tcPr>
            <w:tcW w:w="0" w:type="auto"/>
            <w:tcBorders>
              <w:top w:val="nil"/>
              <w:left w:val="nil"/>
              <w:bottom w:val="single" w:sz="4" w:space="0" w:color="auto"/>
              <w:right w:val="single" w:sz="8" w:space="0" w:color="auto"/>
            </w:tcBorders>
            <w:shd w:val="clear" w:color="auto" w:fill="auto"/>
            <w:noWrap/>
            <w:hideMark/>
          </w:tcPr>
          <w:p w14:paraId="0989897C" w14:textId="20897ECC"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75ADC557"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6B771B7"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56925C9C" w14:textId="112E9913" w:rsidR="006730FA" w:rsidRPr="00343231" w:rsidRDefault="006730FA" w:rsidP="006730FA">
            <w:pPr>
              <w:spacing w:after="0"/>
              <w:jc w:val="center"/>
              <w:rPr>
                <w:color w:val="000000"/>
                <w:szCs w:val="22"/>
              </w:rPr>
            </w:pPr>
            <w:r w:rsidRPr="006730FA">
              <w:rPr>
                <w:color w:val="000000"/>
                <w:szCs w:val="22"/>
              </w:rPr>
              <w:t>[CP 1RBI_0] + [CP 1RBI_4] [11111000]</w:t>
            </w:r>
          </w:p>
        </w:tc>
        <w:tc>
          <w:tcPr>
            <w:tcW w:w="0" w:type="auto"/>
            <w:tcBorders>
              <w:top w:val="nil"/>
              <w:left w:val="nil"/>
              <w:bottom w:val="single" w:sz="4" w:space="0" w:color="auto"/>
              <w:right w:val="single" w:sz="8" w:space="0" w:color="auto"/>
            </w:tcBorders>
            <w:shd w:val="clear" w:color="auto" w:fill="auto"/>
            <w:noWrap/>
            <w:hideMark/>
          </w:tcPr>
          <w:p w14:paraId="0484CCB4" w14:textId="79BC6100"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0C31B9DF" w14:textId="77777777" w:rsidTr="005F0219">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678A467"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7D47B864" w14:textId="06FAAB32"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[00011000]</w:t>
            </w:r>
          </w:p>
        </w:tc>
        <w:tc>
          <w:tcPr>
            <w:tcW w:w="0" w:type="auto"/>
            <w:tcBorders>
              <w:top w:val="nil"/>
              <w:left w:val="nil"/>
              <w:bottom w:val="single" w:sz="4" w:space="0" w:color="auto"/>
              <w:right w:val="single" w:sz="8" w:space="0" w:color="auto"/>
            </w:tcBorders>
            <w:shd w:val="clear" w:color="auto" w:fill="auto"/>
            <w:noWrap/>
            <w:vAlign w:val="center"/>
            <w:hideMark/>
          </w:tcPr>
          <w:p w14:paraId="30857DA4" w14:textId="75CF94E7" w:rsidR="006730FA" w:rsidRPr="00343231" w:rsidRDefault="006730FA" w:rsidP="006730FA">
            <w:pPr>
              <w:spacing w:after="0"/>
              <w:jc w:val="center"/>
              <w:rPr>
                <w:color w:val="000000"/>
                <w:szCs w:val="22"/>
              </w:rPr>
            </w:pPr>
            <w:r>
              <w:rPr>
                <w:color w:val="000000"/>
                <w:szCs w:val="22"/>
              </w:rPr>
              <w:t>30+30</w:t>
            </w:r>
          </w:p>
        </w:tc>
      </w:tr>
      <w:tr w:rsidR="006730FA" w:rsidRPr="006B0CFE" w14:paraId="678E1B3C"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315CCA9B"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4FD5704D" w14:textId="7AFD0050"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[00111000]</w:t>
            </w:r>
          </w:p>
        </w:tc>
        <w:tc>
          <w:tcPr>
            <w:tcW w:w="0" w:type="auto"/>
            <w:tcBorders>
              <w:top w:val="nil"/>
              <w:left w:val="nil"/>
              <w:bottom w:val="single" w:sz="4" w:space="0" w:color="auto"/>
              <w:right w:val="single" w:sz="8" w:space="0" w:color="auto"/>
            </w:tcBorders>
            <w:shd w:val="clear" w:color="auto" w:fill="auto"/>
            <w:noWrap/>
          </w:tcPr>
          <w:p w14:paraId="4A422B90" w14:textId="37116808"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0EEFB20B"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1115E5E9"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1021E899" w14:textId="6B7CDB50"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[01111000]</w:t>
            </w:r>
          </w:p>
        </w:tc>
        <w:tc>
          <w:tcPr>
            <w:tcW w:w="0" w:type="auto"/>
            <w:tcBorders>
              <w:top w:val="nil"/>
              <w:left w:val="nil"/>
              <w:bottom w:val="single" w:sz="4" w:space="0" w:color="auto"/>
              <w:right w:val="single" w:sz="8" w:space="0" w:color="auto"/>
            </w:tcBorders>
            <w:shd w:val="clear" w:color="auto" w:fill="auto"/>
            <w:noWrap/>
          </w:tcPr>
          <w:p w14:paraId="7FE4FDF6" w14:textId="2F6B0401"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61303C12"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015FF6FF"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59933D2C" w14:textId="20C13E80"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[11111000]</w:t>
            </w:r>
          </w:p>
        </w:tc>
        <w:tc>
          <w:tcPr>
            <w:tcW w:w="0" w:type="auto"/>
            <w:tcBorders>
              <w:top w:val="nil"/>
              <w:left w:val="nil"/>
              <w:bottom w:val="single" w:sz="4" w:space="0" w:color="auto"/>
              <w:right w:val="single" w:sz="8" w:space="0" w:color="auto"/>
            </w:tcBorders>
            <w:shd w:val="clear" w:color="auto" w:fill="auto"/>
            <w:noWrap/>
          </w:tcPr>
          <w:p w14:paraId="009EA518" w14:textId="15ADE1BB"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36931BC1"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553E0D67"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48951776" w14:textId="2A7C85C1"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[11111100]</w:t>
            </w:r>
          </w:p>
        </w:tc>
        <w:tc>
          <w:tcPr>
            <w:tcW w:w="0" w:type="auto"/>
            <w:tcBorders>
              <w:top w:val="nil"/>
              <w:left w:val="nil"/>
              <w:bottom w:val="single" w:sz="4" w:space="0" w:color="auto"/>
              <w:right w:val="single" w:sz="8" w:space="0" w:color="auto"/>
            </w:tcBorders>
            <w:shd w:val="clear" w:color="auto" w:fill="auto"/>
            <w:noWrap/>
          </w:tcPr>
          <w:p w14:paraId="1AB1EB0D" w14:textId="47BE4ECA"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3888A998"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28704C67"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772FE40E" w14:textId="327B02EB"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[11111110]</w:t>
            </w:r>
          </w:p>
        </w:tc>
        <w:tc>
          <w:tcPr>
            <w:tcW w:w="0" w:type="auto"/>
            <w:tcBorders>
              <w:top w:val="nil"/>
              <w:left w:val="nil"/>
              <w:bottom w:val="single" w:sz="4" w:space="0" w:color="auto"/>
              <w:right w:val="single" w:sz="8" w:space="0" w:color="auto"/>
            </w:tcBorders>
            <w:shd w:val="clear" w:color="auto" w:fill="auto"/>
            <w:noWrap/>
          </w:tcPr>
          <w:p w14:paraId="034CE8B9" w14:textId="68FE5EFC"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55881859"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0776B465"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6FF33F42" w14:textId="52AA074E" w:rsidR="006730FA" w:rsidRPr="00343231" w:rsidRDefault="006730FA" w:rsidP="006730FA">
            <w:pPr>
              <w:spacing w:after="0"/>
              <w:jc w:val="center"/>
              <w:rPr>
                <w:color w:val="000000"/>
                <w:szCs w:val="22"/>
              </w:rPr>
            </w:pPr>
            <w:r>
              <w:rPr>
                <w:color w:val="000000"/>
                <w:szCs w:val="22"/>
              </w:rPr>
              <w:t>[DFT Full]</w:t>
            </w:r>
            <w:r w:rsidRPr="006730FA">
              <w:rPr>
                <w:color w:val="000000"/>
                <w:szCs w:val="22"/>
              </w:rPr>
              <w:t xml:space="preserve"> + </w:t>
            </w:r>
            <w:r>
              <w:rPr>
                <w:color w:val="000000"/>
                <w:szCs w:val="22"/>
              </w:rPr>
              <w:t>[DFT Full]</w:t>
            </w:r>
            <w:r w:rsidRPr="006730FA">
              <w:rPr>
                <w:color w:val="000000"/>
                <w:szCs w:val="22"/>
              </w:rPr>
              <w:t xml:space="preserve"> [11111111]</w:t>
            </w:r>
          </w:p>
        </w:tc>
        <w:tc>
          <w:tcPr>
            <w:tcW w:w="0" w:type="auto"/>
            <w:tcBorders>
              <w:top w:val="nil"/>
              <w:left w:val="nil"/>
              <w:bottom w:val="single" w:sz="4" w:space="0" w:color="auto"/>
              <w:right w:val="single" w:sz="8" w:space="0" w:color="auto"/>
            </w:tcBorders>
            <w:shd w:val="clear" w:color="auto" w:fill="auto"/>
            <w:noWrap/>
          </w:tcPr>
          <w:p w14:paraId="61CECC7F" w14:textId="61348D3C"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120BAD97"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74F25FAF"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114DAC85" w14:textId="041FF971" w:rsidR="006730FA" w:rsidRPr="00343231" w:rsidRDefault="006730FA" w:rsidP="006730FA">
            <w:pPr>
              <w:spacing w:after="0"/>
              <w:jc w:val="center"/>
              <w:rPr>
                <w:color w:val="000000"/>
                <w:szCs w:val="22"/>
              </w:rPr>
            </w:pPr>
            <w:r w:rsidRPr="006730FA">
              <w:rPr>
                <w:color w:val="000000"/>
                <w:szCs w:val="22"/>
              </w:rPr>
              <w:t>[DFT 1RBI_2] + [DFT 1RBI_4] [00011000]</w:t>
            </w:r>
          </w:p>
        </w:tc>
        <w:tc>
          <w:tcPr>
            <w:tcW w:w="0" w:type="auto"/>
            <w:tcBorders>
              <w:top w:val="nil"/>
              <w:left w:val="nil"/>
              <w:bottom w:val="single" w:sz="4" w:space="0" w:color="auto"/>
              <w:right w:val="single" w:sz="8" w:space="0" w:color="auto"/>
            </w:tcBorders>
            <w:shd w:val="clear" w:color="auto" w:fill="auto"/>
            <w:noWrap/>
          </w:tcPr>
          <w:p w14:paraId="6BE02C2D" w14:textId="17857A03"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735413E3"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413B373B"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17C2BCAF" w14:textId="739F05B0" w:rsidR="006730FA" w:rsidRPr="00343231" w:rsidRDefault="006730FA" w:rsidP="006730FA">
            <w:pPr>
              <w:spacing w:after="0"/>
              <w:jc w:val="center"/>
              <w:rPr>
                <w:color w:val="000000"/>
                <w:szCs w:val="22"/>
              </w:rPr>
            </w:pPr>
            <w:r w:rsidRPr="006730FA">
              <w:rPr>
                <w:color w:val="000000"/>
                <w:szCs w:val="22"/>
              </w:rPr>
              <w:t>[DFT 1RBI_2] + [DFT 1RBI_2] [01111000]</w:t>
            </w:r>
          </w:p>
        </w:tc>
        <w:tc>
          <w:tcPr>
            <w:tcW w:w="0" w:type="auto"/>
            <w:tcBorders>
              <w:top w:val="nil"/>
              <w:left w:val="nil"/>
              <w:bottom w:val="single" w:sz="4" w:space="0" w:color="auto"/>
              <w:right w:val="single" w:sz="8" w:space="0" w:color="auto"/>
            </w:tcBorders>
            <w:shd w:val="clear" w:color="auto" w:fill="auto"/>
            <w:noWrap/>
          </w:tcPr>
          <w:p w14:paraId="24CD4EC8" w14:textId="4F6352E7"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582A2818"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2D57AB74"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175949C0" w14:textId="1CBCA612" w:rsidR="006730FA" w:rsidRPr="00343231" w:rsidRDefault="006730FA" w:rsidP="006730FA">
            <w:pPr>
              <w:spacing w:after="0"/>
              <w:jc w:val="center"/>
              <w:rPr>
                <w:color w:val="000000"/>
                <w:szCs w:val="22"/>
              </w:rPr>
            </w:pPr>
            <w:r w:rsidRPr="006730FA">
              <w:rPr>
                <w:color w:val="000000"/>
                <w:szCs w:val="22"/>
              </w:rPr>
              <w:t>[DFT 1RBI_1] + [DFT 1RBI_4] [01111000]</w:t>
            </w:r>
          </w:p>
        </w:tc>
        <w:tc>
          <w:tcPr>
            <w:tcW w:w="0" w:type="auto"/>
            <w:tcBorders>
              <w:top w:val="nil"/>
              <w:left w:val="nil"/>
              <w:bottom w:val="single" w:sz="4" w:space="0" w:color="auto"/>
              <w:right w:val="single" w:sz="8" w:space="0" w:color="auto"/>
            </w:tcBorders>
            <w:shd w:val="clear" w:color="auto" w:fill="auto"/>
            <w:noWrap/>
          </w:tcPr>
          <w:p w14:paraId="576EFE99" w14:textId="56082963"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0B8C8275"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tcPr>
          <w:p w14:paraId="6FFD6C61"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6833AD76" w14:textId="5A1A17A9" w:rsidR="006730FA" w:rsidRPr="00343231" w:rsidRDefault="006730FA" w:rsidP="006730FA">
            <w:pPr>
              <w:spacing w:after="0"/>
              <w:jc w:val="center"/>
              <w:rPr>
                <w:color w:val="000000"/>
                <w:szCs w:val="22"/>
              </w:rPr>
            </w:pPr>
            <w:r w:rsidRPr="006730FA">
              <w:rPr>
                <w:color w:val="000000"/>
                <w:szCs w:val="22"/>
              </w:rPr>
              <w:t>[DFT 1RBI_0] + [DFT 1RBI_0] [11111000]</w:t>
            </w:r>
          </w:p>
        </w:tc>
        <w:tc>
          <w:tcPr>
            <w:tcW w:w="0" w:type="auto"/>
            <w:tcBorders>
              <w:top w:val="nil"/>
              <w:left w:val="nil"/>
              <w:bottom w:val="single" w:sz="4" w:space="0" w:color="auto"/>
              <w:right w:val="single" w:sz="8" w:space="0" w:color="auto"/>
            </w:tcBorders>
            <w:shd w:val="clear" w:color="auto" w:fill="auto"/>
            <w:noWrap/>
          </w:tcPr>
          <w:p w14:paraId="21927B2F" w14:textId="61DF84BD" w:rsidR="006730FA" w:rsidRPr="00F077C6" w:rsidRDefault="006730FA" w:rsidP="006730FA">
            <w:pPr>
              <w:spacing w:after="0"/>
              <w:jc w:val="center"/>
              <w:rPr>
                <w:color w:val="000000"/>
                <w:szCs w:val="22"/>
              </w:rPr>
            </w:pPr>
            <w:r w:rsidRPr="00F077C6">
              <w:rPr>
                <w:color w:val="000000"/>
                <w:szCs w:val="22"/>
              </w:rPr>
              <w:t>30+30</w:t>
            </w:r>
          </w:p>
        </w:tc>
      </w:tr>
      <w:tr w:rsidR="006730FA" w:rsidRPr="006B0CFE" w14:paraId="687E76B5" w14:textId="77777777" w:rsidTr="008C0342">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6AB469D0"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264C4D8B" w14:textId="43C55378" w:rsidR="006730FA" w:rsidRPr="00343231" w:rsidRDefault="006730FA" w:rsidP="006730FA">
            <w:pPr>
              <w:spacing w:after="0"/>
              <w:jc w:val="center"/>
              <w:rPr>
                <w:color w:val="000000"/>
                <w:szCs w:val="22"/>
              </w:rPr>
            </w:pPr>
            <w:r w:rsidRPr="006730FA">
              <w:rPr>
                <w:color w:val="000000"/>
                <w:szCs w:val="22"/>
              </w:rPr>
              <w:t>[DFT 1RBI_0] + [DFT 1RBI_4] [11111000]</w:t>
            </w:r>
          </w:p>
        </w:tc>
        <w:tc>
          <w:tcPr>
            <w:tcW w:w="0" w:type="auto"/>
            <w:tcBorders>
              <w:top w:val="nil"/>
              <w:left w:val="nil"/>
              <w:bottom w:val="single" w:sz="4" w:space="0" w:color="auto"/>
              <w:right w:val="single" w:sz="8" w:space="0" w:color="auto"/>
            </w:tcBorders>
            <w:shd w:val="clear" w:color="auto" w:fill="auto"/>
            <w:noWrap/>
            <w:hideMark/>
          </w:tcPr>
          <w:p w14:paraId="4FC8E177" w14:textId="519A4EDF"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0040F2F7" w14:textId="77777777" w:rsidTr="003E0F91">
        <w:trPr>
          <w:cantSplit/>
          <w:trHeight w:val="20"/>
          <w:jc w:val="center"/>
        </w:trPr>
        <w:tc>
          <w:tcPr>
            <w:tcW w:w="753"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5AD6CBEF" w14:textId="3FEA8ACD" w:rsidR="006730FA" w:rsidRPr="00343231" w:rsidRDefault="003E0F91" w:rsidP="006730FA">
            <w:pPr>
              <w:spacing w:after="0"/>
              <w:jc w:val="center"/>
              <w:rPr>
                <w:b/>
                <w:bCs/>
                <w:color w:val="000000"/>
              </w:rPr>
            </w:pPr>
            <w:r>
              <w:rPr>
                <w:b/>
                <w:bCs/>
                <w:color w:val="000000"/>
              </w:rPr>
              <w:t>Hybrid “Full/Interlaced”</w:t>
            </w:r>
          </w:p>
        </w:tc>
        <w:tc>
          <w:tcPr>
            <w:tcW w:w="0" w:type="auto"/>
            <w:tcBorders>
              <w:top w:val="nil"/>
              <w:left w:val="nil"/>
              <w:bottom w:val="single" w:sz="4" w:space="0" w:color="auto"/>
              <w:right w:val="nil"/>
            </w:tcBorders>
            <w:shd w:val="clear" w:color="auto" w:fill="auto"/>
            <w:noWrap/>
            <w:vAlign w:val="center"/>
          </w:tcPr>
          <w:p w14:paraId="7D5A83F6" w14:textId="7478D003" w:rsidR="006730FA" w:rsidRPr="00343231" w:rsidRDefault="003E0F91" w:rsidP="003E0F91">
            <w:pPr>
              <w:spacing w:after="0"/>
              <w:jc w:val="center"/>
              <w:rPr>
                <w:color w:val="000000"/>
                <w:szCs w:val="22"/>
              </w:rPr>
            </w:pPr>
            <w:r w:rsidRPr="003E0F91">
              <w:rPr>
                <w:color w:val="000000"/>
                <w:szCs w:val="22"/>
              </w:rPr>
              <w:t xml:space="preserve"> [CP Full] + [CP 1RBI_0] [20+20]</w:t>
            </w:r>
          </w:p>
        </w:tc>
        <w:tc>
          <w:tcPr>
            <w:tcW w:w="0" w:type="auto"/>
            <w:tcBorders>
              <w:top w:val="nil"/>
              <w:left w:val="nil"/>
              <w:bottom w:val="single" w:sz="4" w:space="0" w:color="auto"/>
              <w:right w:val="single" w:sz="8" w:space="0" w:color="auto"/>
            </w:tcBorders>
            <w:shd w:val="clear" w:color="auto" w:fill="auto"/>
            <w:noWrap/>
            <w:hideMark/>
          </w:tcPr>
          <w:p w14:paraId="5C35350C" w14:textId="779A1FD1" w:rsidR="006730FA" w:rsidRPr="00343231" w:rsidRDefault="003E0F91" w:rsidP="006730FA">
            <w:pPr>
              <w:spacing w:after="0"/>
              <w:jc w:val="center"/>
              <w:rPr>
                <w:color w:val="000000"/>
                <w:szCs w:val="22"/>
              </w:rPr>
            </w:pPr>
            <w:r>
              <w:rPr>
                <w:color w:val="000000"/>
                <w:szCs w:val="22"/>
              </w:rPr>
              <w:t>15+15</w:t>
            </w:r>
          </w:p>
        </w:tc>
      </w:tr>
      <w:tr w:rsidR="006730FA" w:rsidRPr="006B0CFE" w14:paraId="766BE689"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6B5ACE5"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12B6ABC1" w14:textId="47D478F0" w:rsidR="006730FA" w:rsidRPr="00343231" w:rsidRDefault="003E0F91" w:rsidP="003E0F91">
            <w:pPr>
              <w:spacing w:after="0"/>
              <w:jc w:val="center"/>
              <w:rPr>
                <w:color w:val="000000"/>
                <w:szCs w:val="22"/>
              </w:rPr>
            </w:pPr>
            <w:r w:rsidRPr="003E0F91">
              <w:rPr>
                <w:color w:val="000000"/>
                <w:szCs w:val="22"/>
              </w:rPr>
              <w:t>[DFT Full] + [DFT 1RBI_5] [20+20]</w:t>
            </w:r>
          </w:p>
        </w:tc>
        <w:tc>
          <w:tcPr>
            <w:tcW w:w="0" w:type="auto"/>
            <w:tcBorders>
              <w:top w:val="nil"/>
              <w:left w:val="nil"/>
              <w:bottom w:val="single" w:sz="4" w:space="0" w:color="auto"/>
              <w:right w:val="single" w:sz="8" w:space="0" w:color="auto"/>
            </w:tcBorders>
            <w:shd w:val="clear" w:color="auto" w:fill="auto"/>
            <w:noWrap/>
            <w:hideMark/>
          </w:tcPr>
          <w:p w14:paraId="4D029070" w14:textId="1E30B3D9" w:rsidR="006730FA" w:rsidRPr="00343231" w:rsidRDefault="003E0F91" w:rsidP="006730FA">
            <w:pPr>
              <w:spacing w:after="0"/>
              <w:jc w:val="center"/>
              <w:rPr>
                <w:color w:val="000000"/>
                <w:szCs w:val="22"/>
              </w:rPr>
            </w:pPr>
            <w:r>
              <w:rPr>
                <w:color w:val="000000"/>
                <w:szCs w:val="22"/>
              </w:rPr>
              <w:t>15+15</w:t>
            </w:r>
          </w:p>
        </w:tc>
      </w:tr>
      <w:tr w:rsidR="006730FA" w:rsidRPr="006B0CFE" w14:paraId="2AD76F5D"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4780B69"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2C5A7584" w14:textId="7BEE2173" w:rsidR="006730FA" w:rsidRPr="00343231" w:rsidRDefault="003E0F91" w:rsidP="0035084C">
            <w:pPr>
              <w:spacing w:after="0"/>
              <w:jc w:val="center"/>
              <w:rPr>
                <w:color w:val="000000"/>
                <w:szCs w:val="22"/>
              </w:rPr>
            </w:pPr>
            <w:r w:rsidRPr="003E0F91">
              <w:rPr>
                <w:color w:val="000000"/>
                <w:szCs w:val="22"/>
              </w:rPr>
              <w:t>[CP Full] + [CP 1RBI_0] [11111111]</w:t>
            </w:r>
          </w:p>
        </w:tc>
        <w:tc>
          <w:tcPr>
            <w:tcW w:w="0" w:type="auto"/>
            <w:tcBorders>
              <w:top w:val="nil"/>
              <w:left w:val="nil"/>
              <w:bottom w:val="single" w:sz="4" w:space="0" w:color="auto"/>
              <w:right w:val="single" w:sz="8" w:space="0" w:color="auto"/>
            </w:tcBorders>
            <w:shd w:val="clear" w:color="auto" w:fill="auto"/>
            <w:noWrap/>
            <w:hideMark/>
          </w:tcPr>
          <w:p w14:paraId="316FD8A8" w14:textId="637738B8"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17EA13D3"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25D7FD75"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6A232D98" w14:textId="641ABA62" w:rsidR="006730FA" w:rsidRPr="00343231" w:rsidRDefault="0035084C" w:rsidP="0035084C">
            <w:pPr>
              <w:spacing w:after="0"/>
              <w:jc w:val="center"/>
              <w:rPr>
                <w:color w:val="000000"/>
                <w:szCs w:val="22"/>
              </w:rPr>
            </w:pPr>
            <w:r w:rsidRPr="003E0F91">
              <w:rPr>
                <w:color w:val="000000"/>
                <w:szCs w:val="22"/>
              </w:rPr>
              <w:t>[CP Full] + [CP 1RBI_0] [11111100]</w:t>
            </w:r>
          </w:p>
        </w:tc>
        <w:tc>
          <w:tcPr>
            <w:tcW w:w="0" w:type="auto"/>
            <w:tcBorders>
              <w:top w:val="nil"/>
              <w:left w:val="nil"/>
              <w:bottom w:val="single" w:sz="4" w:space="0" w:color="auto"/>
              <w:right w:val="single" w:sz="8" w:space="0" w:color="auto"/>
            </w:tcBorders>
            <w:shd w:val="clear" w:color="auto" w:fill="auto"/>
            <w:noWrap/>
            <w:hideMark/>
          </w:tcPr>
          <w:p w14:paraId="25A07660" w14:textId="5E8F0DB6"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07570909"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0A073C0E"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5297939E" w14:textId="2B512C3C" w:rsidR="006730FA" w:rsidRPr="00343231" w:rsidRDefault="0035084C" w:rsidP="0035084C">
            <w:pPr>
              <w:spacing w:after="0"/>
              <w:jc w:val="center"/>
              <w:rPr>
                <w:color w:val="000000"/>
                <w:szCs w:val="22"/>
              </w:rPr>
            </w:pPr>
            <w:r w:rsidRPr="003E0F91">
              <w:rPr>
                <w:color w:val="000000"/>
                <w:szCs w:val="22"/>
              </w:rPr>
              <w:t>[CP Full] + [CP 1RBI_0] [11111000]</w:t>
            </w:r>
          </w:p>
        </w:tc>
        <w:tc>
          <w:tcPr>
            <w:tcW w:w="0" w:type="auto"/>
            <w:tcBorders>
              <w:top w:val="nil"/>
              <w:left w:val="nil"/>
              <w:bottom w:val="single" w:sz="4" w:space="0" w:color="auto"/>
              <w:right w:val="single" w:sz="8" w:space="0" w:color="auto"/>
            </w:tcBorders>
            <w:shd w:val="clear" w:color="auto" w:fill="auto"/>
            <w:noWrap/>
            <w:hideMark/>
          </w:tcPr>
          <w:p w14:paraId="4FC65927" w14:textId="7F1A54B4"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7A37F854"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310245E8"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3F40B27E" w14:textId="7986286B" w:rsidR="006730FA" w:rsidRPr="00343231" w:rsidRDefault="0035084C" w:rsidP="006730FA">
            <w:pPr>
              <w:spacing w:after="0"/>
              <w:jc w:val="center"/>
              <w:rPr>
                <w:color w:val="000000"/>
                <w:szCs w:val="22"/>
              </w:rPr>
            </w:pPr>
            <w:r w:rsidRPr="003E0F91">
              <w:rPr>
                <w:color w:val="000000"/>
                <w:szCs w:val="22"/>
              </w:rPr>
              <w:t>[CP Full] + [CP 1RBI_0] [01111000]</w:t>
            </w:r>
          </w:p>
        </w:tc>
        <w:tc>
          <w:tcPr>
            <w:tcW w:w="0" w:type="auto"/>
            <w:tcBorders>
              <w:top w:val="nil"/>
              <w:left w:val="nil"/>
              <w:bottom w:val="single" w:sz="4" w:space="0" w:color="auto"/>
              <w:right w:val="single" w:sz="8" w:space="0" w:color="auto"/>
            </w:tcBorders>
            <w:shd w:val="clear" w:color="auto" w:fill="auto"/>
            <w:noWrap/>
            <w:hideMark/>
          </w:tcPr>
          <w:p w14:paraId="66698C4B" w14:textId="4C3B6566" w:rsidR="006730FA" w:rsidRPr="00343231" w:rsidRDefault="006730FA" w:rsidP="006730FA">
            <w:pPr>
              <w:spacing w:after="0"/>
              <w:jc w:val="center"/>
              <w:rPr>
                <w:color w:val="000000"/>
                <w:szCs w:val="22"/>
              </w:rPr>
            </w:pPr>
            <w:r w:rsidRPr="00F077C6">
              <w:rPr>
                <w:color w:val="000000"/>
                <w:szCs w:val="22"/>
              </w:rPr>
              <w:t>30+30</w:t>
            </w:r>
          </w:p>
        </w:tc>
      </w:tr>
      <w:tr w:rsidR="006730FA" w:rsidRPr="006B0CFE" w14:paraId="349673D3" w14:textId="77777777" w:rsidTr="003E0F91">
        <w:trPr>
          <w:cantSplit/>
          <w:trHeight w:val="20"/>
          <w:jc w:val="center"/>
        </w:trPr>
        <w:tc>
          <w:tcPr>
            <w:tcW w:w="753" w:type="dxa"/>
            <w:vMerge/>
            <w:tcBorders>
              <w:top w:val="nil"/>
              <w:left w:val="single" w:sz="8" w:space="0" w:color="auto"/>
              <w:bottom w:val="single" w:sz="8" w:space="0" w:color="000000"/>
              <w:right w:val="single" w:sz="4" w:space="0" w:color="auto"/>
            </w:tcBorders>
            <w:vAlign w:val="center"/>
            <w:hideMark/>
          </w:tcPr>
          <w:p w14:paraId="503E9B9C" w14:textId="77777777" w:rsidR="006730FA" w:rsidRPr="00343231" w:rsidRDefault="006730FA" w:rsidP="006730FA">
            <w:pPr>
              <w:spacing w:after="0"/>
              <w:rPr>
                <w:b/>
                <w:bCs/>
                <w:color w:val="000000"/>
              </w:rPr>
            </w:pPr>
          </w:p>
        </w:tc>
        <w:tc>
          <w:tcPr>
            <w:tcW w:w="0" w:type="auto"/>
            <w:tcBorders>
              <w:top w:val="nil"/>
              <w:left w:val="nil"/>
              <w:bottom w:val="single" w:sz="4" w:space="0" w:color="auto"/>
              <w:right w:val="nil"/>
            </w:tcBorders>
            <w:shd w:val="clear" w:color="auto" w:fill="auto"/>
            <w:noWrap/>
            <w:vAlign w:val="center"/>
          </w:tcPr>
          <w:p w14:paraId="0CE49B7F" w14:textId="77D800CE" w:rsidR="006730FA" w:rsidRPr="00343231" w:rsidRDefault="0035084C" w:rsidP="0035084C">
            <w:pPr>
              <w:spacing w:after="0"/>
              <w:jc w:val="center"/>
              <w:rPr>
                <w:color w:val="000000"/>
                <w:szCs w:val="22"/>
              </w:rPr>
            </w:pPr>
            <w:r w:rsidRPr="0035084C">
              <w:rPr>
                <w:color w:val="000000"/>
                <w:szCs w:val="22"/>
              </w:rPr>
              <w:t>[DFT Full] + [DFT 1RBI_0] [11111000]</w:t>
            </w:r>
          </w:p>
        </w:tc>
        <w:tc>
          <w:tcPr>
            <w:tcW w:w="0" w:type="auto"/>
            <w:tcBorders>
              <w:top w:val="nil"/>
              <w:left w:val="nil"/>
              <w:bottom w:val="single" w:sz="4" w:space="0" w:color="auto"/>
              <w:right w:val="single" w:sz="8" w:space="0" w:color="auto"/>
            </w:tcBorders>
            <w:shd w:val="clear" w:color="auto" w:fill="auto"/>
            <w:noWrap/>
            <w:hideMark/>
          </w:tcPr>
          <w:p w14:paraId="388A817D" w14:textId="341F01E7" w:rsidR="006730FA" w:rsidRPr="00343231" w:rsidRDefault="006730FA" w:rsidP="006730FA">
            <w:pPr>
              <w:spacing w:after="0"/>
              <w:jc w:val="center"/>
              <w:rPr>
                <w:color w:val="000000"/>
                <w:szCs w:val="22"/>
              </w:rPr>
            </w:pPr>
            <w:r w:rsidRPr="00F077C6">
              <w:rPr>
                <w:color w:val="000000"/>
                <w:szCs w:val="22"/>
              </w:rPr>
              <w:t>30+30</w:t>
            </w:r>
          </w:p>
        </w:tc>
      </w:tr>
    </w:tbl>
    <w:p w14:paraId="475B634D" w14:textId="77777777" w:rsidR="00D603D8" w:rsidRPr="00BE113D" w:rsidRDefault="00D603D8" w:rsidP="00BE113D">
      <w:pPr>
        <w:rPr>
          <w:lang w:val="en-GB" w:eastAsia="zh-CN"/>
        </w:rPr>
      </w:pPr>
    </w:p>
    <w:p w14:paraId="4A01419B" w14:textId="616E7170" w:rsidR="0035084C" w:rsidRDefault="0035084C" w:rsidP="0035084C">
      <w:pPr>
        <w:pStyle w:val="Heading2"/>
        <w:tabs>
          <w:tab w:val="clear" w:pos="1427"/>
          <w:tab w:val="num" w:pos="1560"/>
        </w:tabs>
        <w:spacing w:after="240"/>
        <w:ind w:left="567"/>
        <w:rPr>
          <w:lang w:eastAsia="zh-CN"/>
        </w:rPr>
      </w:pPr>
      <w:r>
        <w:rPr>
          <w:lang w:eastAsia="zh-CN"/>
        </w:rPr>
        <w:t>Measurement Results</w:t>
      </w:r>
    </w:p>
    <w:p w14:paraId="7B7DDCA7" w14:textId="45D2BD9D" w:rsidR="0035084C" w:rsidRDefault="0035084C" w:rsidP="0035084C">
      <w:pPr>
        <w:jc w:val="both"/>
      </w:pPr>
      <w:r>
        <w:fldChar w:fldCharType="begin"/>
      </w:r>
      <w:r>
        <w:instrText xml:space="preserve"> REF _Ref40441275 \h </w:instrText>
      </w:r>
      <w:r>
        <w:fldChar w:fldCharType="separate"/>
      </w:r>
      <w:r w:rsidRPr="006B0CFE">
        <w:t xml:space="preserve">Figure </w:t>
      </w:r>
      <w:r>
        <w:rPr>
          <w:noProof/>
        </w:rPr>
        <w:t>2</w:t>
      </w:r>
      <w:r>
        <w:fldChar w:fldCharType="end"/>
      </w:r>
      <w:r>
        <w:t xml:space="preserve"> summarizes the measured back-off for each gating factor with waveforms split into 5 groups, and with from left to right:</w:t>
      </w:r>
    </w:p>
    <w:p w14:paraId="4B81D459" w14:textId="32D5F900" w:rsidR="0035084C" w:rsidRDefault="0035084C" w:rsidP="0035084C">
      <w:pPr>
        <w:pStyle w:val="ListParagraph"/>
        <w:numPr>
          <w:ilvl w:val="0"/>
          <w:numId w:val="47"/>
        </w:numPr>
        <w:jc w:val="both"/>
      </w:pPr>
      <w:r>
        <w:t>DFT-s-OFDM PA calibration waveform</w:t>
      </w:r>
      <w:r w:rsidR="00F75420">
        <w:t>;</w:t>
      </w:r>
    </w:p>
    <w:p w14:paraId="0D0D68F7" w14:textId="55BE4C5E" w:rsidR="0035084C" w:rsidRDefault="0035084C" w:rsidP="0035084C">
      <w:pPr>
        <w:pStyle w:val="ListParagraph"/>
        <w:numPr>
          <w:ilvl w:val="0"/>
          <w:numId w:val="47"/>
        </w:numPr>
        <w:jc w:val="both"/>
      </w:pPr>
      <w:r>
        <w:t xml:space="preserve">Group 1: 20+20MHz </w:t>
      </w:r>
      <w:r w:rsidR="00B765FF">
        <w:t xml:space="preserve">and waveforms ordered as in </w:t>
      </w:r>
      <w:r w:rsidR="00B765FF">
        <w:fldChar w:fldCharType="begin"/>
      </w:r>
      <w:r w:rsidR="00B765FF">
        <w:instrText xml:space="preserve"> REF _Ref85748044 \h </w:instrText>
      </w:r>
      <w:r w:rsidR="00B765FF">
        <w:fldChar w:fldCharType="separate"/>
      </w:r>
      <w:r w:rsidR="00B765FF" w:rsidRPr="006B0CFE">
        <w:t xml:space="preserve">Table </w:t>
      </w:r>
      <w:r w:rsidR="00B765FF" w:rsidRPr="006B0CFE">
        <w:rPr>
          <w:noProof/>
        </w:rPr>
        <w:t>1</w:t>
      </w:r>
      <w:r w:rsidR="00B765FF">
        <w:fldChar w:fldCharType="end"/>
      </w:r>
      <w:r w:rsidR="00F75420">
        <w:t>;</w:t>
      </w:r>
    </w:p>
    <w:p w14:paraId="3EB2F514" w14:textId="7A3D0096" w:rsidR="0035084C" w:rsidRDefault="00B765FF" w:rsidP="0035084C">
      <w:pPr>
        <w:pStyle w:val="ListParagraph"/>
        <w:numPr>
          <w:ilvl w:val="0"/>
          <w:numId w:val="47"/>
        </w:numPr>
        <w:jc w:val="both"/>
      </w:pPr>
      <w:r>
        <w:t>Group 2: 80+80MHz fully allocated CP OFDM waveforms</w:t>
      </w:r>
      <w:r w:rsidR="00F75420">
        <w:t>;</w:t>
      </w:r>
    </w:p>
    <w:p w14:paraId="69CA1E9E" w14:textId="3A93A3D6" w:rsidR="00B765FF" w:rsidRDefault="00B765FF" w:rsidP="00B765FF">
      <w:pPr>
        <w:pStyle w:val="ListParagraph"/>
        <w:numPr>
          <w:ilvl w:val="0"/>
          <w:numId w:val="47"/>
        </w:numPr>
        <w:jc w:val="both"/>
      </w:pPr>
      <w:r>
        <w:t>Group 3: 80+80MHz interlaced CP OFDM waveforms</w:t>
      </w:r>
      <w:r w:rsidR="00F75420">
        <w:t>;</w:t>
      </w:r>
    </w:p>
    <w:p w14:paraId="6BDC587F" w14:textId="02D01749" w:rsidR="00B765FF" w:rsidRDefault="00B765FF" w:rsidP="00B765FF">
      <w:pPr>
        <w:pStyle w:val="ListParagraph"/>
        <w:numPr>
          <w:ilvl w:val="0"/>
          <w:numId w:val="47"/>
        </w:numPr>
        <w:jc w:val="both"/>
      </w:pPr>
      <w:r>
        <w:t>Group 4: 80+80MHz fully allocated DFT-s-OFDM waveforms</w:t>
      </w:r>
      <w:r w:rsidR="00F75420">
        <w:t>; and</w:t>
      </w:r>
    </w:p>
    <w:p w14:paraId="7F3C013C" w14:textId="66672628" w:rsidR="00B765FF" w:rsidRDefault="00B765FF" w:rsidP="00B765FF">
      <w:pPr>
        <w:pStyle w:val="ListParagraph"/>
        <w:numPr>
          <w:ilvl w:val="0"/>
          <w:numId w:val="47"/>
        </w:numPr>
        <w:jc w:val="both"/>
      </w:pPr>
      <w:r>
        <w:t>Group 5: 80+80MHz interlaced DFT-s-OFDM waveforms</w:t>
      </w:r>
      <w:r w:rsidR="00F75420">
        <w:t>.</w:t>
      </w:r>
    </w:p>
    <w:p w14:paraId="618A3AE2" w14:textId="6F46A859" w:rsidR="003162EC" w:rsidRDefault="00A33D12" w:rsidP="009D1B7A">
      <w:pPr>
        <w:jc w:val="both"/>
      </w:pPr>
      <w:r w:rsidRPr="00A33D12">
        <w:rPr>
          <w:noProof/>
        </w:rPr>
        <w:lastRenderedPageBreak/>
        <w:drawing>
          <wp:inline distT="0" distB="0" distL="0" distR="0" wp14:anchorId="04B56296" wp14:editId="4B2BDD0A">
            <wp:extent cx="6780978" cy="32670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781426" cy="3267291"/>
                    </a:xfrm>
                    <a:prstGeom prst="rect">
                      <a:avLst/>
                    </a:prstGeom>
                  </pic:spPr>
                </pic:pic>
              </a:graphicData>
            </a:graphic>
          </wp:inline>
        </w:drawing>
      </w:r>
    </w:p>
    <w:p w14:paraId="36A6B697" w14:textId="5940240D" w:rsidR="0035084C" w:rsidRPr="006B0CFE" w:rsidRDefault="0035084C" w:rsidP="0035084C">
      <w:pPr>
        <w:pStyle w:val="Caption"/>
      </w:pPr>
      <w:bookmarkStart w:id="5" w:name="_Ref40441275"/>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Pr>
          <w:noProof/>
        </w:rPr>
        <w:t>2</w:t>
      </w:r>
      <w:r w:rsidR="00446CFE">
        <w:rPr>
          <w:noProof/>
        </w:rPr>
        <w:fldChar w:fldCharType="end"/>
      </w:r>
      <w:bookmarkEnd w:id="5"/>
      <w:r w:rsidRPr="006B0CFE">
        <w:t xml:space="preserve">: </w:t>
      </w:r>
      <w:r w:rsidRPr="00B765FF">
        <w:rPr>
          <w:b w:val="0"/>
        </w:rPr>
        <w:t>PC5 back-off measurement results</w:t>
      </w:r>
      <w:r w:rsidR="00B765FF">
        <w:rPr>
          <w:b w:val="0"/>
        </w:rPr>
        <w:t xml:space="preserve"> for full/full and interlaced/interlaced allocations.</w:t>
      </w:r>
    </w:p>
    <w:p w14:paraId="3E1C6A4F" w14:textId="0446E34C" w:rsidR="00B765FF" w:rsidRDefault="00B765FF" w:rsidP="00B765FF">
      <w:pPr>
        <w:rPr>
          <w:b/>
        </w:rPr>
      </w:pPr>
    </w:p>
    <w:p w14:paraId="2E8A7C67" w14:textId="44AC9E62" w:rsidR="00B765FF" w:rsidRDefault="00B765FF" w:rsidP="00B765FF">
      <w:r>
        <w:t>The measured back-off for hybrid configuration</w:t>
      </w:r>
      <w:r w:rsidR="00F75420">
        <w:t>s</w:t>
      </w:r>
      <w:r>
        <w:t xml:space="preserve"> are summarized in </w:t>
      </w:r>
      <w:r>
        <w:fldChar w:fldCharType="begin"/>
      </w:r>
      <w:r>
        <w:instrText xml:space="preserve"> REF _Ref85753028 \h </w:instrText>
      </w:r>
      <w:r>
        <w:fldChar w:fldCharType="separate"/>
      </w:r>
      <w:r w:rsidRPr="006B0CFE">
        <w:t xml:space="preserve">Figure </w:t>
      </w:r>
      <w:r>
        <w:rPr>
          <w:noProof/>
        </w:rPr>
        <w:t>3</w:t>
      </w:r>
      <w:r>
        <w:fldChar w:fldCharType="end"/>
      </w:r>
      <w:r w:rsidR="00F75420">
        <w:t xml:space="preserve"> and split into three groups: 20+20MHz, 80+80 CP-OFDM, 80+80 DFT-s-OFDM.</w:t>
      </w:r>
    </w:p>
    <w:p w14:paraId="20840452" w14:textId="7DA64592" w:rsidR="00B765FF" w:rsidRDefault="003162EC" w:rsidP="003162EC">
      <w:pPr>
        <w:jc w:val="center"/>
      </w:pPr>
      <w:r w:rsidRPr="003162EC">
        <w:rPr>
          <w:noProof/>
        </w:rPr>
        <w:drawing>
          <wp:inline distT="0" distB="0" distL="0" distR="0" wp14:anchorId="47F12C48" wp14:editId="22B42A64">
            <wp:extent cx="3539287" cy="256222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1179" cy="2563595"/>
                    </a:xfrm>
                    <a:prstGeom prst="rect">
                      <a:avLst/>
                    </a:prstGeom>
                    <a:noFill/>
                    <a:ln>
                      <a:noFill/>
                    </a:ln>
                  </pic:spPr>
                </pic:pic>
              </a:graphicData>
            </a:graphic>
          </wp:inline>
        </w:drawing>
      </w:r>
    </w:p>
    <w:p w14:paraId="0BA8B260" w14:textId="02318711" w:rsidR="00B765FF" w:rsidRPr="006B0CFE" w:rsidRDefault="00B765FF" w:rsidP="00B765FF">
      <w:pPr>
        <w:pStyle w:val="Caption"/>
      </w:pPr>
      <w:bookmarkStart w:id="6" w:name="_Ref85753028"/>
      <w:r w:rsidRPr="006B0CFE">
        <w:t xml:space="preserve">Figure </w:t>
      </w:r>
      <w:r w:rsidR="00446CFE">
        <w:rPr>
          <w:noProof/>
        </w:rPr>
        <w:fldChar w:fldCharType="begin"/>
      </w:r>
      <w:r w:rsidR="00446CFE">
        <w:rPr>
          <w:noProof/>
        </w:rPr>
        <w:instrText xml:space="preserve"> SEQ Figure \* ARABIC </w:instrText>
      </w:r>
      <w:r w:rsidR="00446CFE">
        <w:rPr>
          <w:noProof/>
        </w:rPr>
        <w:fldChar w:fldCharType="separate"/>
      </w:r>
      <w:r>
        <w:rPr>
          <w:noProof/>
        </w:rPr>
        <w:t>3</w:t>
      </w:r>
      <w:r w:rsidR="00446CFE">
        <w:rPr>
          <w:noProof/>
        </w:rPr>
        <w:fldChar w:fldCharType="end"/>
      </w:r>
      <w:bookmarkEnd w:id="6"/>
      <w:r w:rsidRPr="006B0CFE">
        <w:t xml:space="preserve">: </w:t>
      </w:r>
      <w:r w:rsidRPr="00B765FF">
        <w:rPr>
          <w:b w:val="0"/>
        </w:rPr>
        <w:t>PC5 back-off measurement results</w:t>
      </w:r>
      <w:r>
        <w:rPr>
          <w:b w:val="0"/>
        </w:rPr>
        <w:t xml:space="preserve"> for “hybrid” full/interlaced allocations.</w:t>
      </w:r>
    </w:p>
    <w:p w14:paraId="427CC231" w14:textId="45A64B1D" w:rsidR="00F75420" w:rsidRDefault="00F75420" w:rsidP="00F75420">
      <w:r w:rsidRPr="00512321">
        <w:rPr>
          <w:b/>
        </w:rPr>
        <w:t>Observation 1</w:t>
      </w:r>
      <w:r>
        <w:t xml:space="preserve">: </w:t>
      </w:r>
      <w:r w:rsidR="00574DFD">
        <w:t xml:space="preserve">For </w:t>
      </w:r>
      <w:r w:rsidR="00512321" w:rsidRPr="00512321">
        <w:t>full/full and interlaced/interlaced allocations</w:t>
      </w:r>
      <w:r w:rsidR="00512321">
        <w:t>:</w:t>
      </w:r>
    </w:p>
    <w:p w14:paraId="01C68628" w14:textId="0F8EECC9" w:rsidR="00391BF4" w:rsidRDefault="00A943D8" w:rsidP="00212590">
      <w:pPr>
        <w:pStyle w:val="ListParagraph"/>
        <w:numPr>
          <w:ilvl w:val="0"/>
          <w:numId w:val="48"/>
        </w:numPr>
      </w:pPr>
      <w:r>
        <w:t>Full/full allocations: for b</w:t>
      </w:r>
      <w:r w:rsidR="00391BF4">
        <w:t>oth CP-OFDM and DFT-s-OFDM 80+80 configurations:</w:t>
      </w:r>
    </w:p>
    <w:p w14:paraId="1BC826F4" w14:textId="17C87F40" w:rsidR="00F75420" w:rsidRDefault="00391BF4" w:rsidP="00391BF4">
      <w:pPr>
        <w:pStyle w:val="ListParagraph"/>
        <w:numPr>
          <w:ilvl w:val="1"/>
          <w:numId w:val="48"/>
        </w:numPr>
      </w:pPr>
      <w:r>
        <w:t>MPR is gated by SEM for both CP and DFT-s-OFDM.</w:t>
      </w:r>
    </w:p>
    <w:p w14:paraId="67A538EB" w14:textId="39625F21" w:rsidR="00391BF4" w:rsidRDefault="00391BF4" w:rsidP="00391BF4">
      <w:pPr>
        <w:pStyle w:val="ListParagraph"/>
        <w:numPr>
          <w:ilvl w:val="1"/>
          <w:numId w:val="48"/>
        </w:numPr>
      </w:pPr>
      <w:r>
        <w:t>The highest back-off is met for asymmetric WB configurations [11111000] and [01111000] where the -28dB image rejection of the modulated sub-bands fail the SEM.</w:t>
      </w:r>
    </w:p>
    <w:p w14:paraId="60D8B681" w14:textId="01F10D06" w:rsidR="00391BF4" w:rsidRDefault="00391BF4" w:rsidP="00391BF4">
      <w:pPr>
        <w:pStyle w:val="ListParagraph"/>
        <w:numPr>
          <w:ilvl w:val="1"/>
          <w:numId w:val="48"/>
        </w:numPr>
      </w:pPr>
      <w:r>
        <w:t>The next highest back-off is met in full WB configurations [11111111].</w:t>
      </w:r>
    </w:p>
    <w:p w14:paraId="213F4E0E" w14:textId="0062B32C" w:rsidR="00391BF4" w:rsidRDefault="00A943D8" w:rsidP="001C4484">
      <w:pPr>
        <w:pStyle w:val="ListParagraph"/>
        <w:numPr>
          <w:ilvl w:val="0"/>
          <w:numId w:val="48"/>
        </w:numPr>
      </w:pPr>
      <w:r>
        <w:t>I</w:t>
      </w:r>
      <w:r w:rsidR="00391BF4">
        <w:t>nterlaced</w:t>
      </w:r>
      <w:r>
        <w:t>/</w:t>
      </w:r>
      <w:r w:rsidR="00391BF4">
        <w:t>interlaced</w:t>
      </w:r>
      <w:r>
        <w:t>: for</w:t>
      </w:r>
      <w:r w:rsidR="00391BF4">
        <w:t xml:space="preserve"> 80+80 configurations:</w:t>
      </w:r>
    </w:p>
    <w:p w14:paraId="30CA9186" w14:textId="169D8E11" w:rsidR="00391BF4" w:rsidRDefault="00391BF4" w:rsidP="00391BF4">
      <w:pPr>
        <w:pStyle w:val="ListParagraph"/>
        <w:numPr>
          <w:ilvl w:val="1"/>
          <w:numId w:val="48"/>
        </w:numPr>
      </w:pPr>
      <w:r>
        <w:t>MPR is gated by SEM for DFT-s-OFDM waveforms</w:t>
      </w:r>
      <w:r w:rsidR="00410831">
        <w:t>;</w:t>
      </w:r>
    </w:p>
    <w:p w14:paraId="2E60AF8E" w14:textId="079E15A1" w:rsidR="00391BF4" w:rsidRDefault="00391BF4" w:rsidP="00391BF4">
      <w:pPr>
        <w:pStyle w:val="ListParagraph"/>
        <w:numPr>
          <w:ilvl w:val="1"/>
          <w:numId w:val="48"/>
        </w:numPr>
      </w:pPr>
      <w:r>
        <w:t>MPR is gated by ACLR for full WB configurations [11111111], otherwise driven by SE</w:t>
      </w:r>
      <w:r w:rsidR="00410831">
        <w:t>M;</w:t>
      </w:r>
    </w:p>
    <w:p w14:paraId="7D97AFE6" w14:textId="4C754307" w:rsidR="00391BF4" w:rsidRDefault="00391BF4" w:rsidP="00391BF4">
      <w:pPr>
        <w:pStyle w:val="ListParagraph"/>
        <w:numPr>
          <w:ilvl w:val="1"/>
          <w:numId w:val="48"/>
        </w:numPr>
      </w:pPr>
      <w:r>
        <w:t>The back-off for the tested interlaced waveforms is lower than for the case of fully allocated waveforms</w:t>
      </w:r>
      <w:r w:rsidR="00410831">
        <w:t>;</w:t>
      </w:r>
    </w:p>
    <w:p w14:paraId="0F2BFD01" w14:textId="331468A0" w:rsidR="00391BF4" w:rsidRDefault="00391BF4" w:rsidP="00391BF4">
      <w:pPr>
        <w:pStyle w:val="ListParagraph"/>
        <w:numPr>
          <w:ilvl w:val="1"/>
          <w:numId w:val="48"/>
        </w:numPr>
      </w:pPr>
      <w:r>
        <w:t xml:space="preserve">It should be noted however that the selected interlaced waveforms </w:t>
      </w:r>
      <w:r w:rsidR="00512321">
        <w:t xml:space="preserve">may </w:t>
      </w:r>
      <w:r w:rsidR="00A943D8">
        <w:t xml:space="preserve">not </w:t>
      </w:r>
      <w:r w:rsidR="00512321">
        <w:t>be representative of the worst IMD landscape since the tested RB interlaced patterns do not ensure maximum IMD overlap</w:t>
      </w:r>
      <w:r w:rsidR="00410831">
        <w:t>;</w:t>
      </w:r>
    </w:p>
    <w:p w14:paraId="3CBFF075" w14:textId="251236A3" w:rsidR="00A943D8" w:rsidRDefault="00A943D8" w:rsidP="00391BF4">
      <w:pPr>
        <w:pStyle w:val="ListParagraph"/>
        <w:numPr>
          <w:ilvl w:val="1"/>
          <w:numId w:val="48"/>
        </w:numPr>
      </w:pPr>
      <w:r>
        <w:t>Further study of power back-off of interlaced/interlaced configurations is required;</w:t>
      </w:r>
      <w:r w:rsidR="00EE2E52">
        <w:t xml:space="preserve"> and</w:t>
      </w:r>
    </w:p>
    <w:p w14:paraId="589AD87C" w14:textId="2EFFBE1C" w:rsidR="00410831" w:rsidRDefault="00410831" w:rsidP="00391BF4">
      <w:pPr>
        <w:pStyle w:val="ListParagraph"/>
        <w:numPr>
          <w:ilvl w:val="1"/>
          <w:numId w:val="48"/>
        </w:numPr>
      </w:pPr>
      <w:r>
        <w:t>There is little difference in measured back-off for CP interlaced/interlaced and DFT interlaced/interlaced for 80+80MHz.</w:t>
      </w:r>
    </w:p>
    <w:p w14:paraId="4AD007BB" w14:textId="4B4059A1" w:rsidR="00F75420" w:rsidRDefault="00F75420" w:rsidP="00F75420">
      <w:r w:rsidRPr="00512321">
        <w:rPr>
          <w:b/>
        </w:rPr>
        <w:t>Observation 2</w:t>
      </w:r>
      <w:r>
        <w:t xml:space="preserve">: </w:t>
      </w:r>
      <w:r w:rsidR="00512321">
        <w:t>F</w:t>
      </w:r>
      <w:r w:rsidR="00512321" w:rsidRPr="00512321">
        <w:t>or “hybrid” full/interlaced allocations</w:t>
      </w:r>
      <w:r>
        <w:t>:</w:t>
      </w:r>
    </w:p>
    <w:p w14:paraId="4214DCAD" w14:textId="7CC130B8" w:rsidR="00A943D8" w:rsidRDefault="00F75420" w:rsidP="00A943D8">
      <w:pPr>
        <w:pStyle w:val="ListParagraph"/>
        <w:numPr>
          <w:ilvl w:val="0"/>
          <w:numId w:val="49"/>
        </w:numPr>
      </w:pPr>
      <w:r>
        <w:lastRenderedPageBreak/>
        <w:t xml:space="preserve">SEM remains </w:t>
      </w:r>
      <w:r w:rsidR="00512321">
        <w:t xml:space="preserve">the </w:t>
      </w:r>
      <w:r>
        <w:t>dominating gating factor for</w:t>
      </w:r>
      <w:r w:rsidR="00512321">
        <w:t xml:space="preserve"> all waveform types on this limited selection of tested </w:t>
      </w:r>
      <w:r>
        <w:t>waveforms</w:t>
      </w:r>
      <w:r w:rsidR="00A943D8">
        <w:t>;</w:t>
      </w:r>
    </w:p>
    <w:p w14:paraId="64CD9D4F" w14:textId="770D1935" w:rsidR="00A943D8" w:rsidRDefault="00512321" w:rsidP="00A943D8">
      <w:pPr>
        <w:pStyle w:val="ListParagraph"/>
        <w:numPr>
          <w:ilvl w:val="0"/>
          <w:numId w:val="49"/>
        </w:numPr>
      </w:pPr>
      <w:r>
        <w:t>Due to missing interlaced/interlaced waveforms that maximize IMD overlap, it is not possible to conclude if the measured power back-off required to pass SEM for hybrid “Full/interlaced” allocations is covered by the back-off of “interlaced/interlaced” allocations</w:t>
      </w:r>
      <w:r w:rsidR="00410831">
        <w:t>;</w:t>
      </w:r>
      <w:r w:rsidR="00A943D8">
        <w:t xml:space="preserve"> </w:t>
      </w:r>
      <w:r w:rsidR="00EE2E52">
        <w:t>and</w:t>
      </w:r>
    </w:p>
    <w:p w14:paraId="1D745E17" w14:textId="6B182C04" w:rsidR="00A943D8" w:rsidRDefault="00A943D8" w:rsidP="00A943D8">
      <w:pPr>
        <w:pStyle w:val="ListParagraph"/>
        <w:numPr>
          <w:ilvl w:val="0"/>
          <w:numId w:val="49"/>
        </w:numPr>
      </w:pPr>
      <w:r>
        <w:t>Further study of power back-off of hybrid configurations is required as these allocations offer a much higher spectrum utilization than the interlaced/interlaced waveforms.</w:t>
      </w:r>
    </w:p>
    <w:p w14:paraId="234CA309" w14:textId="3BEA5504" w:rsidR="00887986" w:rsidRDefault="00887986" w:rsidP="00887986">
      <w:r w:rsidRPr="00A943D8">
        <w:rPr>
          <w:b/>
        </w:rPr>
        <w:t xml:space="preserve">Proposal </w:t>
      </w:r>
      <w:r w:rsidR="00A943D8" w:rsidRPr="00A943D8">
        <w:rPr>
          <w:b/>
        </w:rPr>
        <w:t>1</w:t>
      </w:r>
      <w:r w:rsidR="00A943D8">
        <w:rPr>
          <w:b/>
        </w:rPr>
        <w:t>:</w:t>
      </w:r>
      <w:r>
        <w:t xml:space="preserve"> PC5 </w:t>
      </w:r>
      <w:r w:rsidR="00A943D8">
        <w:t xml:space="preserve">contiguous UL-CA </w:t>
      </w:r>
      <w:r>
        <w:t>MPR:</w:t>
      </w:r>
    </w:p>
    <w:p w14:paraId="4E175341" w14:textId="0419F170" w:rsidR="00887986" w:rsidRDefault="00887986" w:rsidP="00887986">
      <w:r>
        <w:t>•</w:t>
      </w:r>
      <w:r>
        <w:tab/>
      </w:r>
      <w:r w:rsidR="002B429D">
        <w:t>Further study power back-off for interlaced waveforms where IMD overlap is maximized</w:t>
      </w:r>
      <w:r w:rsidR="00EE2E52">
        <w:t>; and</w:t>
      </w:r>
    </w:p>
    <w:p w14:paraId="6FE1CD49" w14:textId="725005B7" w:rsidR="00887986" w:rsidRDefault="00887986" w:rsidP="00887986">
      <w:r>
        <w:t>•</w:t>
      </w:r>
      <w:r>
        <w:tab/>
      </w:r>
      <w:r w:rsidR="002B429D">
        <w:t>Further study MPR table format at next meeting for all allocation types</w:t>
      </w:r>
      <w:r w:rsidR="00EE2E52">
        <w:t>.</w:t>
      </w:r>
    </w:p>
    <w:p w14:paraId="7BE54F94" w14:textId="77777777" w:rsidR="00305289" w:rsidRDefault="00305289" w:rsidP="00305289">
      <w:pPr>
        <w:pStyle w:val="Heading1"/>
      </w:pPr>
      <w:r>
        <w:t>Conclusions</w:t>
      </w:r>
    </w:p>
    <w:p w14:paraId="5C525490" w14:textId="0890D63E" w:rsidR="00CC0435" w:rsidRDefault="002B429D" w:rsidP="00BA6E0E">
      <w:pPr>
        <w:spacing w:after="0"/>
        <w:jc w:val="both"/>
      </w:pPr>
      <w:r w:rsidRPr="002B429D">
        <w:t xml:space="preserve">In this contribution, we present our measurement results for NRU </w:t>
      </w:r>
      <w:r>
        <w:t>intra-band contiguous uplink CA</w:t>
      </w:r>
      <w:r w:rsidRPr="002B429D">
        <w:t xml:space="preserve"> operation. It was not possible to </w:t>
      </w:r>
      <w:r>
        <w:t xml:space="preserve">conclude if </w:t>
      </w:r>
      <w:r w:rsidRPr="002B429D">
        <w:t>MPR</w:t>
      </w:r>
      <w:r>
        <w:t xml:space="preserve"> for interlaced/interlaced</w:t>
      </w:r>
      <w:r w:rsidRPr="002B429D">
        <w:t xml:space="preserve"> waveform</w:t>
      </w:r>
      <w:r>
        <w:t>s may be as high as full/full allocations. It was also not possible to conclude if MPR for hybrid full/interlaced waveforms may be covered by interlaced/interlaced MPR.</w:t>
      </w:r>
      <w:r w:rsidRPr="002B429D">
        <w:t xml:space="preserve"> Based on observations 1 </w:t>
      </w:r>
      <w:r>
        <w:t>and 2</w:t>
      </w:r>
      <w:r w:rsidRPr="002B429D">
        <w:t xml:space="preserve">, we </w:t>
      </w:r>
      <w:r w:rsidR="00EE2E52">
        <w:t xml:space="preserve">propose </w:t>
      </w:r>
      <w:r w:rsidRPr="002B429D">
        <w:t>the following:</w:t>
      </w:r>
    </w:p>
    <w:p w14:paraId="029A776A" w14:textId="77777777" w:rsidR="002B429D" w:rsidRDefault="002B429D" w:rsidP="00BA6E0E">
      <w:pPr>
        <w:spacing w:after="0"/>
        <w:jc w:val="both"/>
      </w:pPr>
    </w:p>
    <w:p w14:paraId="7262C976" w14:textId="77777777" w:rsidR="002B429D" w:rsidRDefault="002B429D" w:rsidP="002B429D">
      <w:r w:rsidRPr="00A943D8">
        <w:rPr>
          <w:b/>
        </w:rPr>
        <w:t>Proposal 1</w:t>
      </w:r>
      <w:r>
        <w:rPr>
          <w:b/>
        </w:rPr>
        <w:t>:</w:t>
      </w:r>
      <w:r>
        <w:t xml:space="preserve"> PC5 contiguous UL-CA MPR:</w:t>
      </w:r>
    </w:p>
    <w:p w14:paraId="52D7B32B" w14:textId="3777CB36" w:rsidR="002B429D" w:rsidRDefault="002B429D" w:rsidP="002B429D">
      <w:r>
        <w:t>•</w:t>
      </w:r>
      <w:r>
        <w:tab/>
        <w:t>Further study power back-off for interlaced waveforms where IMD overlap is maximized</w:t>
      </w:r>
      <w:r w:rsidR="00EE2E52">
        <w:t>; and</w:t>
      </w:r>
    </w:p>
    <w:p w14:paraId="380169D7" w14:textId="09BBBA6A" w:rsidR="002B429D" w:rsidRDefault="002B429D" w:rsidP="002B429D">
      <w:r>
        <w:t>•</w:t>
      </w:r>
      <w:r>
        <w:tab/>
        <w:t>Further study MPR table format at next meeting for all allocation types</w:t>
      </w:r>
      <w:r w:rsidR="00EE2E52">
        <w:t>.</w:t>
      </w:r>
    </w:p>
    <w:p w14:paraId="03D6921F" w14:textId="77777777" w:rsidR="00F10F97" w:rsidRDefault="007321E3" w:rsidP="00C8525F">
      <w:pPr>
        <w:pStyle w:val="Heading1"/>
        <w:numPr>
          <w:ilvl w:val="0"/>
          <w:numId w:val="0"/>
        </w:numPr>
        <w:jc w:val="both"/>
      </w:pPr>
      <w:r>
        <w:t>R</w:t>
      </w:r>
      <w:r w:rsidR="00F10F97">
        <w:t>eferences</w:t>
      </w:r>
    </w:p>
    <w:p w14:paraId="37D5A730" w14:textId="1902A697" w:rsidR="0057770C" w:rsidRDefault="00674679" w:rsidP="00CC0435">
      <w:pPr>
        <w:ind w:left="567" w:hanging="567"/>
      </w:pPr>
      <w:r>
        <w:t>[1</w:t>
      </w:r>
      <w:r w:rsidRPr="00DD0023">
        <w:t>]</w:t>
      </w:r>
      <w:r>
        <w:t xml:space="preserve"> </w:t>
      </w:r>
      <w:r w:rsidR="0041341A">
        <w:tab/>
      </w:r>
      <w:r w:rsidR="00D603D8" w:rsidRPr="00D603D8">
        <w:t>R4-2114899</w:t>
      </w:r>
      <w:r w:rsidR="00350A18">
        <w:t>,</w:t>
      </w:r>
      <w:r w:rsidR="00350A18" w:rsidRPr="00350A18">
        <w:t xml:space="preserve"> </w:t>
      </w:r>
      <w:r w:rsidR="00D603D8" w:rsidRPr="00D603D8">
        <w:t>WF on NRU ULCA cases and evaluation assumptions</w:t>
      </w:r>
      <w:r w:rsidR="0041341A">
        <w:t xml:space="preserve">, </w:t>
      </w:r>
      <w:r w:rsidR="00350A18" w:rsidRPr="00350A18">
        <w:t>3GPP TSG-RAN WG4 Meeting #</w:t>
      </w:r>
      <w:r w:rsidR="000A696D">
        <w:t>100</w:t>
      </w:r>
      <w:r w:rsidR="00350A18" w:rsidRPr="00350A18">
        <w:t xml:space="preserve">-e, </w:t>
      </w:r>
      <w:r w:rsidR="000A696D" w:rsidRPr="000A696D">
        <w:t>Skywork</w:t>
      </w:r>
      <w:r w:rsidR="001D179C">
        <w:t>s Solutions</w:t>
      </w:r>
      <w:r w:rsidR="00EE2E52">
        <w:t>,</w:t>
      </w:r>
      <w:r w:rsidR="001D179C">
        <w:t xml:space="preserve"> Inc</w:t>
      </w:r>
      <w:r w:rsidR="000A696D">
        <w:t>.</w:t>
      </w:r>
      <w:r w:rsidR="001D179C">
        <w:t xml:space="preserve"> </w:t>
      </w:r>
    </w:p>
    <w:sectPr w:rsidR="0057770C"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5C49A" w14:textId="77777777" w:rsidR="00446CFE" w:rsidRDefault="00446CFE">
      <w:r>
        <w:separator/>
      </w:r>
    </w:p>
  </w:endnote>
  <w:endnote w:type="continuationSeparator" w:id="0">
    <w:p w14:paraId="58BACC87" w14:textId="77777777" w:rsidR="00446CFE" w:rsidRDefault="0044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D603D8" w:rsidRDefault="00D603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EC919" w14:textId="77777777" w:rsidR="00446CFE" w:rsidRDefault="00446CFE">
      <w:r>
        <w:separator/>
      </w:r>
    </w:p>
  </w:footnote>
  <w:footnote w:type="continuationSeparator" w:id="0">
    <w:p w14:paraId="76237DB9" w14:textId="77777777" w:rsidR="00446CFE" w:rsidRDefault="00446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8623BA"/>
    <w:multiLevelType w:val="hybridMultilevel"/>
    <w:tmpl w:val="BFA6B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C51875"/>
    <w:multiLevelType w:val="hybridMultilevel"/>
    <w:tmpl w:val="C9F2DC1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7327E4D"/>
    <w:multiLevelType w:val="hybridMultilevel"/>
    <w:tmpl w:val="3F88CA8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4"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066CD2"/>
    <w:multiLevelType w:val="hybridMultilevel"/>
    <w:tmpl w:val="1298D22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277922"/>
    <w:multiLevelType w:val="hybridMultilevel"/>
    <w:tmpl w:val="66F4F558"/>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6"/>
  </w:num>
  <w:num w:numId="3">
    <w:abstractNumId w:val="29"/>
  </w:num>
  <w:num w:numId="4">
    <w:abstractNumId w:val="47"/>
  </w:num>
  <w:num w:numId="5">
    <w:abstractNumId w:val="20"/>
  </w:num>
  <w:num w:numId="6">
    <w:abstractNumId w:val="11"/>
  </w:num>
  <w:num w:numId="7">
    <w:abstractNumId w:val="30"/>
  </w:num>
  <w:num w:numId="8">
    <w:abstractNumId w:val="42"/>
  </w:num>
  <w:num w:numId="9">
    <w:abstractNumId w:val="45"/>
  </w:num>
  <w:num w:numId="10">
    <w:abstractNumId w:val="27"/>
  </w:num>
  <w:num w:numId="11">
    <w:abstractNumId w:val="44"/>
  </w:num>
  <w:num w:numId="12">
    <w:abstractNumId w:val="10"/>
  </w:num>
  <w:num w:numId="13">
    <w:abstractNumId w:val="22"/>
  </w:num>
  <w:num w:numId="14">
    <w:abstractNumId w:val="41"/>
  </w:num>
  <w:num w:numId="15">
    <w:abstractNumId w:val="31"/>
  </w:num>
  <w:num w:numId="16">
    <w:abstractNumId w:val="34"/>
  </w:num>
  <w:num w:numId="17">
    <w:abstractNumId w:val="36"/>
  </w:num>
  <w:num w:numId="18">
    <w:abstractNumId w:val="19"/>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38"/>
  </w:num>
  <w:num w:numId="23">
    <w:abstractNumId w:val="35"/>
  </w:num>
  <w:num w:numId="24">
    <w:abstractNumId w:val="23"/>
  </w:num>
  <w:num w:numId="25">
    <w:abstractNumId w:val="3"/>
  </w:num>
  <w:num w:numId="26">
    <w:abstractNumId w:val="39"/>
  </w:num>
  <w:num w:numId="27">
    <w:abstractNumId w:val="25"/>
  </w:num>
  <w:num w:numId="28">
    <w:abstractNumId w:val="28"/>
  </w:num>
  <w:num w:numId="29">
    <w:abstractNumId w:val="21"/>
  </w:num>
  <w:num w:numId="30">
    <w:abstractNumId w:val="40"/>
  </w:num>
  <w:num w:numId="31">
    <w:abstractNumId w:val="8"/>
  </w:num>
  <w:num w:numId="32">
    <w:abstractNumId w:val="7"/>
  </w:num>
  <w:num w:numId="33">
    <w:abstractNumId w:val="14"/>
  </w:num>
  <w:num w:numId="34">
    <w:abstractNumId w:val="37"/>
  </w:num>
  <w:num w:numId="35">
    <w:abstractNumId w:val="15"/>
  </w:num>
  <w:num w:numId="36">
    <w:abstractNumId w:val="5"/>
  </w:num>
  <w:num w:numId="37">
    <w:abstractNumId w:val="9"/>
  </w:num>
  <w:num w:numId="38">
    <w:abstractNumId w:val="16"/>
  </w:num>
  <w:num w:numId="39">
    <w:abstractNumId w:val="13"/>
  </w:num>
  <w:num w:numId="40">
    <w:abstractNumId w:val="0"/>
  </w:num>
  <w:num w:numId="41">
    <w:abstractNumId w:val="1"/>
  </w:num>
  <w:num w:numId="42">
    <w:abstractNumId w:val="33"/>
  </w:num>
  <w:num w:numId="43">
    <w:abstractNumId w:val="2"/>
  </w:num>
  <w:num w:numId="44">
    <w:abstractNumId w:val="24"/>
  </w:num>
  <w:num w:numId="45">
    <w:abstractNumId w:val="43"/>
  </w:num>
  <w:num w:numId="46">
    <w:abstractNumId w:val="46"/>
  </w:num>
  <w:num w:numId="47">
    <w:abstractNumId w:val="17"/>
  </w:num>
  <w:num w:numId="48">
    <w:abstractNumId w:val="32"/>
  </w:num>
  <w:num w:numId="4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74F"/>
    <w:rsid w:val="003E0B68"/>
    <w:rsid w:val="003E0F91"/>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29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8385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2021-10-22T23:35:00Z</dcterms:created>
  <dcterms:modified xsi:type="dcterms:W3CDTF">2021-10-22T23:35:00Z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